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47" w:rsidRPr="001209DF" w:rsidRDefault="001F3A47" w:rsidP="00001F6A">
      <w:pPr>
        <w:spacing w:after="0" w:line="240" w:lineRule="auto"/>
        <w:jc w:val="both"/>
        <w:rPr>
          <w:rFonts w:ascii="Arial" w:hAnsi="Arial" w:cs="Arial"/>
          <w:b/>
          <w:color w:val="000000" w:themeColor="text1"/>
          <w:sz w:val="20"/>
          <w:szCs w:val="20"/>
          <w:lang w:val="en-GB"/>
        </w:rPr>
      </w:pPr>
    </w:p>
    <w:p w:rsidR="000871FA" w:rsidRPr="001209DF" w:rsidRDefault="009456D2" w:rsidP="00001F6A">
      <w:pPr>
        <w:spacing w:after="0" w:line="240" w:lineRule="auto"/>
        <w:jc w:val="center"/>
        <w:rPr>
          <w:rFonts w:ascii="Arial" w:hAnsi="Arial" w:cs="Arial"/>
          <w:b/>
          <w:color w:val="000000" w:themeColor="text1"/>
          <w:sz w:val="28"/>
          <w:szCs w:val="28"/>
          <w:lang w:val="en-GB"/>
        </w:rPr>
      </w:pPr>
      <w:r w:rsidRPr="001209DF">
        <w:rPr>
          <w:rFonts w:ascii="Arial" w:hAnsi="Arial" w:cs="Arial"/>
          <w:b/>
          <w:color w:val="000000" w:themeColor="text1"/>
          <w:sz w:val="28"/>
          <w:szCs w:val="28"/>
          <w:lang w:val="en-GB"/>
        </w:rPr>
        <w:t xml:space="preserve">Rights or Ruse: </w:t>
      </w:r>
      <w:r w:rsidR="00AB7132" w:rsidRPr="001209DF">
        <w:rPr>
          <w:rFonts w:ascii="Arial" w:hAnsi="Arial" w:cs="Arial"/>
          <w:b/>
          <w:color w:val="000000" w:themeColor="text1"/>
          <w:sz w:val="28"/>
          <w:szCs w:val="28"/>
          <w:lang w:val="en-GB"/>
        </w:rPr>
        <w:t>India</w:t>
      </w:r>
      <w:r w:rsidRPr="001209DF">
        <w:rPr>
          <w:rFonts w:ascii="Arial" w:hAnsi="Arial" w:cs="Arial"/>
          <w:b/>
          <w:color w:val="000000" w:themeColor="text1"/>
          <w:sz w:val="28"/>
          <w:szCs w:val="28"/>
          <w:lang w:val="en-GB"/>
        </w:rPr>
        <w:t>n Experiences with Autonomies</w:t>
      </w:r>
    </w:p>
    <w:p w:rsidR="00B3523A" w:rsidRPr="001209DF" w:rsidRDefault="009456D2" w:rsidP="00001F6A">
      <w:pPr>
        <w:spacing w:after="0" w:line="240" w:lineRule="auto"/>
        <w:jc w:val="center"/>
        <w:rPr>
          <w:rFonts w:ascii="Arial" w:hAnsi="Arial" w:cs="Arial"/>
          <w:b/>
          <w:color w:val="000000" w:themeColor="text1"/>
          <w:sz w:val="20"/>
          <w:szCs w:val="20"/>
          <w:lang w:val="en-GB"/>
        </w:rPr>
      </w:pPr>
      <w:proofErr w:type="gramStart"/>
      <w:r w:rsidRPr="001209DF">
        <w:rPr>
          <w:rFonts w:ascii="Arial" w:hAnsi="Arial" w:cs="Arial"/>
          <w:b/>
          <w:color w:val="000000" w:themeColor="text1"/>
          <w:sz w:val="28"/>
          <w:szCs w:val="28"/>
          <w:lang w:val="en-GB"/>
        </w:rPr>
        <w:t>and</w:t>
      </w:r>
      <w:proofErr w:type="gramEnd"/>
      <w:r w:rsidRPr="001209DF">
        <w:rPr>
          <w:rFonts w:ascii="Arial" w:hAnsi="Arial" w:cs="Arial"/>
          <w:b/>
          <w:color w:val="000000" w:themeColor="text1"/>
          <w:sz w:val="28"/>
          <w:szCs w:val="28"/>
          <w:lang w:val="en-GB"/>
        </w:rPr>
        <w:t xml:space="preserve"> the Role of Civil Society </w:t>
      </w:r>
      <w:r w:rsidR="007A3C86" w:rsidRPr="001209DF">
        <w:rPr>
          <w:rFonts w:ascii="Arial" w:hAnsi="Arial" w:cs="Arial"/>
          <w:b/>
          <w:color w:val="000000" w:themeColor="text1"/>
          <w:sz w:val="28"/>
          <w:szCs w:val="28"/>
          <w:lang w:val="en-GB"/>
        </w:rPr>
        <w:t>Bodies</w:t>
      </w:r>
    </w:p>
    <w:p w:rsidR="000871FA" w:rsidRPr="001209DF" w:rsidRDefault="000871FA" w:rsidP="00001F6A">
      <w:pPr>
        <w:spacing w:after="0" w:line="240" w:lineRule="auto"/>
        <w:jc w:val="center"/>
        <w:rPr>
          <w:rFonts w:ascii="Arial" w:hAnsi="Arial" w:cs="Arial"/>
          <w:b/>
          <w:color w:val="000000" w:themeColor="text1"/>
          <w:sz w:val="20"/>
          <w:szCs w:val="20"/>
          <w:lang w:val="en-GB"/>
        </w:rPr>
      </w:pPr>
    </w:p>
    <w:p w:rsidR="00AB7132" w:rsidRPr="001209DF" w:rsidRDefault="009456D2" w:rsidP="00001F6A">
      <w:pPr>
        <w:spacing w:after="0" w:line="240" w:lineRule="auto"/>
        <w:jc w:val="center"/>
        <w:rPr>
          <w:rFonts w:ascii="Arial" w:hAnsi="Arial" w:cs="Arial"/>
          <w:b/>
          <w:color w:val="000000" w:themeColor="text1"/>
          <w:sz w:val="20"/>
          <w:szCs w:val="20"/>
          <w:lang w:val="en-GB"/>
        </w:rPr>
      </w:pPr>
      <w:r w:rsidRPr="001209DF">
        <w:rPr>
          <w:rFonts w:ascii="Arial" w:hAnsi="Arial" w:cs="Arial"/>
          <w:b/>
          <w:color w:val="000000" w:themeColor="text1"/>
          <w:sz w:val="20"/>
          <w:szCs w:val="20"/>
          <w:lang w:val="en-GB"/>
        </w:rPr>
        <w:t>Rita Manchanda</w:t>
      </w:r>
      <w:r w:rsidR="000871FA" w:rsidRPr="001209DF">
        <w:rPr>
          <w:rStyle w:val="FootnoteReference"/>
          <w:rFonts w:ascii="Arial" w:hAnsi="Arial" w:cs="Arial"/>
          <w:color w:val="000000" w:themeColor="text1"/>
          <w:sz w:val="20"/>
          <w:szCs w:val="20"/>
          <w:lang w:val="en-GB"/>
        </w:rPr>
        <w:footnoteReference w:id="1"/>
      </w:r>
    </w:p>
    <w:p w:rsidR="001F4971" w:rsidRDefault="001F4971" w:rsidP="00001F6A">
      <w:pPr>
        <w:spacing w:after="0" w:line="240" w:lineRule="auto"/>
        <w:jc w:val="center"/>
        <w:rPr>
          <w:rFonts w:ascii="Arial" w:hAnsi="Arial" w:cs="Arial"/>
          <w:b/>
          <w:color w:val="000000" w:themeColor="text1"/>
          <w:sz w:val="20"/>
          <w:szCs w:val="20"/>
          <w:lang w:val="en-GB"/>
        </w:rPr>
      </w:pPr>
    </w:p>
    <w:p w:rsidR="00AC41F3" w:rsidRPr="001209DF" w:rsidRDefault="00AC41F3" w:rsidP="00001F6A">
      <w:pPr>
        <w:spacing w:after="0" w:line="240" w:lineRule="auto"/>
        <w:jc w:val="center"/>
        <w:rPr>
          <w:rFonts w:ascii="Arial" w:hAnsi="Arial" w:cs="Arial"/>
          <w:b/>
          <w:color w:val="000000" w:themeColor="text1"/>
          <w:sz w:val="20"/>
          <w:szCs w:val="20"/>
          <w:lang w:val="en-GB"/>
        </w:rPr>
      </w:pPr>
    </w:p>
    <w:p w:rsidR="00B70EA9" w:rsidRPr="001209DF" w:rsidRDefault="00B70EA9" w:rsidP="00001F6A">
      <w:pPr>
        <w:pStyle w:val="ListParagraph"/>
        <w:numPr>
          <w:ilvl w:val="0"/>
          <w:numId w:val="4"/>
        </w:numPr>
        <w:spacing w:after="0" w:line="240" w:lineRule="auto"/>
        <w:contextualSpacing w:val="0"/>
        <w:jc w:val="both"/>
        <w:rPr>
          <w:rFonts w:ascii="Arial" w:hAnsi="Arial" w:cs="Arial"/>
          <w:b/>
          <w:color w:val="000000" w:themeColor="text1"/>
          <w:sz w:val="20"/>
          <w:szCs w:val="20"/>
          <w:lang w:val="en-GB"/>
        </w:rPr>
      </w:pPr>
      <w:r w:rsidRPr="001209DF">
        <w:rPr>
          <w:rFonts w:ascii="Arial" w:hAnsi="Arial" w:cs="Arial"/>
          <w:b/>
          <w:color w:val="000000" w:themeColor="text1"/>
          <w:sz w:val="20"/>
          <w:szCs w:val="20"/>
          <w:lang w:val="en-GB"/>
        </w:rPr>
        <w:t xml:space="preserve">Contextualising India’s Experience with Autonomies </w:t>
      </w:r>
    </w:p>
    <w:p w:rsidR="004C78C4" w:rsidRPr="001209DF" w:rsidRDefault="004C78C4" w:rsidP="00001F6A">
      <w:pPr>
        <w:spacing w:after="0" w:line="240" w:lineRule="auto"/>
        <w:jc w:val="both"/>
        <w:rPr>
          <w:rFonts w:ascii="Arial" w:hAnsi="Arial" w:cs="Arial"/>
          <w:color w:val="000000" w:themeColor="text1"/>
          <w:sz w:val="20"/>
          <w:szCs w:val="20"/>
          <w:lang w:val="en-GB"/>
        </w:rPr>
      </w:pPr>
    </w:p>
    <w:p w:rsidR="009754D8" w:rsidRPr="001209DF" w:rsidRDefault="000F127E"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In India</w:t>
      </w:r>
      <w:r w:rsidR="00C407AF"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the political struggles for self</w:t>
      </w:r>
      <w:r w:rsidR="009754D8"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determination </w:t>
      </w:r>
      <w:r w:rsidR="00C407AF" w:rsidRPr="001209DF">
        <w:rPr>
          <w:rFonts w:ascii="Arial" w:hAnsi="Arial" w:cs="Arial"/>
          <w:color w:val="000000" w:themeColor="text1"/>
          <w:sz w:val="20"/>
          <w:szCs w:val="20"/>
          <w:lang w:val="en-GB"/>
        </w:rPr>
        <w:t>of myriad ethnic communities, religious minorities and nations has led to a divers</w:t>
      </w:r>
      <w:r w:rsidR="000B2396" w:rsidRPr="001209DF">
        <w:rPr>
          <w:rFonts w:ascii="Arial" w:hAnsi="Arial" w:cs="Arial"/>
          <w:color w:val="000000" w:themeColor="text1"/>
          <w:sz w:val="20"/>
          <w:szCs w:val="20"/>
          <w:lang w:val="en-GB"/>
        </w:rPr>
        <w:t xml:space="preserve">e </w:t>
      </w:r>
      <w:r w:rsidR="00C407AF" w:rsidRPr="001209DF">
        <w:rPr>
          <w:rFonts w:ascii="Arial" w:hAnsi="Arial" w:cs="Arial"/>
          <w:color w:val="000000" w:themeColor="text1"/>
          <w:sz w:val="20"/>
          <w:szCs w:val="20"/>
          <w:lang w:val="en-GB"/>
        </w:rPr>
        <w:t xml:space="preserve">range of experiments in </w:t>
      </w:r>
      <w:r w:rsidR="00BD2944" w:rsidRPr="001209DF">
        <w:rPr>
          <w:rFonts w:ascii="Arial" w:hAnsi="Arial" w:cs="Arial"/>
          <w:color w:val="000000" w:themeColor="text1"/>
          <w:sz w:val="20"/>
          <w:szCs w:val="20"/>
          <w:lang w:val="en-GB"/>
        </w:rPr>
        <w:t>asymmetric</w:t>
      </w:r>
      <w:r w:rsidR="00C407AF" w:rsidRPr="001209DF">
        <w:rPr>
          <w:rFonts w:ascii="Arial" w:hAnsi="Arial" w:cs="Arial"/>
          <w:color w:val="000000" w:themeColor="text1"/>
          <w:sz w:val="20"/>
          <w:szCs w:val="20"/>
          <w:lang w:val="en-GB"/>
        </w:rPr>
        <w:t xml:space="preserve"> forms of federal arrangements and </w:t>
      </w:r>
      <w:r w:rsidR="00D469A8" w:rsidRPr="001209DF">
        <w:rPr>
          <w:rFonts w:ascii="Arial" w:hAnsi="Arial" w:cs="Arial"/>
          <w:color w:val="000000" w:themeColor="text1"/>
          <w:sz w:val="20"/>
          <w:szCs w:val="20"/>
          <w:lang w:val="en-GB"/>
        </w:rPr>
        <w:t xml:space="preserve">exceptional </w:t>
      </w:r>
      <w:r w:rsidR="00C407AF" w:rsidRPr="001209DF">
        <w:rPr>
          <w:rFonts w:ascii="Arial" w:hAnsi="Arial" w:cs="Arial"/>
          <w:color w:val="000000" w:themeColor="text1"/>
          <w:sz w:val="20"/>
          <w:szCs w:val="20"/>
          <w:lang w:val="en-GB"/>
        </w:rPr>
        <w:t>autonomies</w:t>
      </w:r>
      <w:r w:rsidR="00B05D66" w:rsidRPr="001209DF">
        <w:rPr>
          <w:rFonts w:ascii="Arial" w:hAnsi="Arial" w:cs="Arial"/>
          <w:color w:val="000000" w:themeColor="text1"/>
          <w:sz w:val="20"/>
          <w:szCs w:val="20"/>
          <w:lang w:val="en-GB"/>
        </w:rPr>
        <w:t xml:space="preserve"> involving paths of constitutionalism, variet</w:t>
      </w:r>
      <w:r w:rsidR="000B2396" w:rsidRPr="001209DF">
        <w:rPr>
          <w:rFonts w:ascii="Arial" w:hAnsi="Arial" w:cs="Arial"/>
          <w:color w:val="000000" w:themeColor="text1"/>
          <w:sz w:val="20"/>
          <w:szCs w:val="20"/>
          <w:lang w:val="en-GB"/>
        </w:rPr>
        <w:t xml:space="preserve">ies </w:t>
      </w:r>
      <w:r w:rsidR="00B05D66" w:rsidRPr="001209DF">
        <w:rPr>
          <w:rFonts w:ascii="Arial" w:hAnsi="Arial" w:cs="Arial"/>
          <w:color w:val="000000" w:themeColor="text1"/>
          <w:sz w:val="20"/>
          <w:szCs w:val="20"/>
          <w:lang w:val="en-GB"/>
        </w:rPr>
        <w:t>of peace accords</w:t>
      </w:r>
      <w:r w:rsidR="00D469A8" w:rsidRPr="001209DF">
        <w:rPr>
          <w:rFonts w:ascii="Arial" w:hAnsi="Arial" w:cs="Arial"/>
          <w:color w:val="000000" w:themeColor="text1"/>
          <w:sz w:val="20"/>
          <w:szCs w:val="20"/>
          <w:lang w:val="en-GB"/>
        </w:rPr>
        <w:t xml:space="preserve"> and</w:t>
      </w:r>
      <w:r w:rsidR="00B05D66" w:rsidRPr="001209DF">
        <w:rPr>
          <w:rFonts w:ascii="Arial" w:hAnsi="Arial" w:cs="Arial"/>
          <w:color w:val="000000" w:themeColor="text1"/>
          <w:sz w:val="20"/>
          <w:szCs w:val="20"/>
          <w:lang w:val="en-GB"/>
        </w:rPr>
        <w:t xml:space="preserve"> innovative </w:t>
      </w:r>
      <w:r w:rsidR="00D469A8" w:rsidRPr="001209DF">
        <w:rPr>
          <w:rFonts w:ascii="Arial" w:hAnsi="Arial" w:cs="Arial"/>
          <w:color w:val="000000" w:themeColor="text1"/>
          <w:sz w:val="20"/>
          <w:szCs w:val="20"/>
          <w:lang w:val="en-GB"/>
        </w:rPr>
        <w:t>executive policies</w:t>
      </w:r>
      <w:r w:rsidR="007C536D" w:rsidRPr="001209DF">
        <w:rPr>
          <w:rFonts w:ascii="Arial" w:hAnsi="Arial" w:cs="Arial"/>
          <w:color w:val="000000" w:themeColor="text1"/>
          <w:sz w:val="20"/>
          <w:szCs w:val="20"/>
          <w:lang w:val="en-GB"/>
        </w:rPr>
        <w:t xml:space="preserve">. </w:t>
      </w:r>
      <w:r w:rsidR="00BD2944" w:rsidRPr="001209DF">
        <w:rPr>
          <w:rFonts w:ascii="Arial" w:hAnsi="Arial" w:cs="Arial"/>
          <w:color w:val="000000" w:themeColor="text1"/>
          <w:sz w:val="20"/>
          <w:szCs w:val="20"/>
          <w:lang w:val="en-GB"/>
        </w:rPr>
        <w:t>Post</w:t>
      </w:r>
      <w:r w:rsidR="000871FA" w:rsidRPr="001209DF">
        <w:rPr>
          <w:rFonts w:ascii="Arial" w:hAnsi="Arial" w:cs="Arial"/>
          <w:color w:val="000000" w:themeColor="text1"/>
          <w:sz w:val="20"/>
          <w:szCs w:val="20"/>
          <w:lang w:val="en-GB"/>
        </w:rPr>
        <w:t>-</w:t>
      </w:r>
      <w:r w:rsidR="00BD2944" w:rsidRPr="001209DF">
        <w:rPr>
          <w:rFonts w:ascii="Arial" w:hAnsi="Arial" w:cs="Arial"/>
          <w:color w:val="000000" w:themeColor="text1"/>
          <w:sz w:val="20"/>
          <w:szCs w:val="20"/>
          <w:lang w:val="en-GB"/>
        </w:rPr>
        <w:t>coloniali</w:t>
      </w:r>
      <w:r w:rsidR="000871FA" w:rsidRPr="001209DF">
        <w:rPr>
          <w:rFonts w:ascii="Arial" w:hAnsi="Arial" w:cs="Arial"/>
          <w:color w:val="000000" w:themeColor="text1"/>
          <w:sz w:val="20"/>
          <w:szCs w:val="20"/>
          <w:lang w:val="en-GB"/>
        </w:rPr>
        <w:t>sm</w:t>
      </w:r>
      <w:r w:rsidR="00BD2944" w:rsidRPr="001209DF">
        <w:rPr>
          <w:rFonts w:ascii="Arial" w:hAnsi="Arial" w:cs="Arial"/>
          <w:color w:val="000000" w:themeColor="text1"/>
          <w:sz w:val="20"/>
          <w:szCs w:val="20"/>
          <w:lang w:val="en-GB"/>
        </w:rPr>
        <w:t xml:space="preserve"> reinforced habits of centralized administration, while the rupture of the Great Partition</w:t>
      </w:r>
      <w:r w:rsidR="009754D8" w:rsidRPr="001209DF">
        <w:rPr>
          <w:rFonts w:ascii="Arial" w:hAnsi="Arial" w:cs="Arial"/>
          <w:color w:val="000000" w:themeColor="text1"/>
          <w:sz w:val="20"/>
          <w:szCs w:val="20"/>
          <w:lang w:val="en-GB"/>
        </w:rPr>
        <w:t xml:space="preserve"> of 1947</w:t>
      </w:r>
      <w:r w:rsidR="00BD2944" w:rsidRPr="001209DF">
        <w:rPr>
          <w:rFonts w:ascii="Arial" w:hAnsi="Arial" w:cs="Arial"/>
          <w:color w:val="000000" w:themeColor="text1"/>
          <w:sz w:val="20"/>
          <w:szCs w:val="20"/>
          <w:lang w:val="en-GB"/>
        </w:rPr>
        <w:t xml:space="preserve"> undermined the liberal impulse of the </w:t>
      </w:r>
      <w:r w:rsidR="009754D8" w:rsidRPr="001209DF">
        <w:rPr>
          <w:rFonts w:ascii="Arial" w:hAnsi="Arial" w:cs="Arial"/>
          <w:color w:val="000000" w:themeColor="text1"/>
          <w:sz w:val="20"/>
          <w:szCs w:val="20"/>
          <w:lang w:val="en-GB"/>
        </w:rPr>
        <w:t xml:space="preserve">debates on democratic federalism in the </w:t>
      </w:r>
      <w:r w:rsidR="00BD2944" w:rsidRPr="001209DF">
        <w:rPr>
          <w:rFonts w:ascii="Arial" w:hAnsi="Arial" w:cs="Arial"/>
          <w:color w:val="000000" w:themeColor="text1"/>
          <w:sz w:val="20"/>
          <w:szCs w:val="20"/>
          <w:lang w:val="en-GB"/>
        </w:rPr>
        <w:t>constituent assembly and sowed an abiding anxiety about unity and integrity in a multi ethnic, multi religious and multi</w:t>
      </w:r>
      <w:r w:rsidR="000871FA" w:rsidRPr="001209DF">
        <w:rPr>
          <w:rFonts w:ascii="Arial" w:hAnsi="Arial" w:cs="Arial"/>
          <w:color w:val="000000" w:themeColor="text1"/>
          <w:sz w:val="20"/>
          <w:szCs w:val="20"/>
          <w:lang w:val="en-GB"/>
        </w:rPr>
        <w:t>-</w:t>
      </w:r>
      <w:r w:rsidR="00BD2944" w:rsidRPr="001209DF">
        <w:rPr>
          <w:rFonts w:ascii="Arial" w:hAnsi="Arial" w:cs="Arial"/>
          <w:color w:val="000000" w:themeColor="text1"/>
          <w:sz w:val="20"/>
          <w:szCs w:val="20"/>
          <w:lang w:val="en-GB"/>
        </w:rPr>
        <w:t xml:space="preserve">lingual polity. </w:t>
      </w:r>
      <w:r w:rsidR="00C52D8D" w:rsidRPr="001209DF">
        <w:rPr>
          <w:rFonts w:ascii="Arial" w:hAnsi="Arial" w:cs="Arial"/>
          <w:color w:val="000000" w:themeColor="text1"/>
          <w:sz w:val="20"/>
          <w:szCs w:val="20"/>
          <w:lang w:val="en-GB"/>
        </w:rPr>
        <w:t xml:space="preserve">The formation of the Indian state preceded the </w:t>
      </w:r>
      <w:r w:rsidR="00A03E5D" w:rsidRPr="001209DF">
        <w:rPr>
          <w:rFonts w:ascii="Arial" w:hAnsi="Arial" w:cs="Arial"/>
          <w:color w:val="000000" w:themeColor="text1"/>
          <w:sz w:val="20"/>
          <w:szCs w:val="20"/>
          <w:lang w:val="en-GB"/>
        </w:rPr>
        <w:t>‘</w:t>
      </w:r>
      <w:r w:rsidR="00C52D8D" w:rsidRPr="001209DF">
        <w:rPr>
          <w:rFonts w:ascii="Arial" w:hAnsi="Arial" w:cs="Arial"/>
          <w:color w:val="000000" w:themeColor="text1"/>
          <w:sz w:val="20"/>
          <w:szCs w:val="20"/>
          <w:lang w:val="en-GB"/>
        </w:rPr>
        <w:t>nation</w:t>
      </w:r>
      <w:r w:rsidR="00A03E5D" w:rsidRPr="001209DF">
        <w:rPr>
          <w:rFonts w:ascii="Arial" w:hAnsi="Arial" w:cs="Arial"/>
          <w:color w:val="000000" w:themeColor="text1"/>
          <w:sz w:val="20"/>
          <w:szCs w:val="20"/>
          <w:lang w:val="en-GB"/>
        </w:rPr>
        <w:t>’</w:t>
      </w:r>
      <w:r w:rsidR="00C52D8D" w:rsidRPr="001209DF">
        <w:rPr>
          <w:rFonts w:ascii="Arial" w:hAnsi="Arial" w:cs="Arial"/>
          <w:color w:val="000000" w:themeColor="text1"/>
          <w:sz w:val="20"/>
          <w:szCs w:val="20"/>
          <w:lang w:val="en-GB"/>
        </w:rPr>
        <w:t xml:space="preserve"> and </w:t>
      </w:r>
      <w:r w:rsidR="00EA3E81" w:rsidRPr="001209DF">
        <w:rPr>
          <w:rFonts w:ascii="Arial" w:hAnsi="Arial" w:cs="Arial"/>
          <w:color w:val="000000" w:themeColor="text1"/>
          <w:sz w:val="20"/>
          <w:szCs w:val="20"/>
          <w:lang w:val="en-GB"/>
        </w:rPr>
        <w:t>even six decades after independence,</w:t>
      </w:r>
      <w:r w:rsidR="008369BF" w:rsidRPr="001209DF">
        <w:rPr>
          <w:rFonts w:ascii="Arial" w:hAnsi="Arial" w:cs="Arial"/>
          <w:color w:val="000000" w:themeColor="text1"/>
          <w:sz w:val="20"/>
          <w:szCs w:val="20"/>
          <w:lang w:val="en-GB"/>
        </w:rPr>
        <w:t xml:space="preserve"> the ruling elites continue to confront and accommodate</w:t>
      </w:r>
      <w:r w:rsidR="00D42753" w:rsidRPr="001209DF">
        <w:rPr>
          <w:rFonts w:ascii="Arial" w:hAnsi="Arial" w:cs="Arial"/>
          <w:color w:val="000000" w:themeColor="text1"/>
          <w:sz w:val="20"/>
          <w:szCs w:val="20"/>
          <w:lang w:val="en-GB"/>
        </w:rPr>
        <w:t xml:space="preserve"> </w:t>
      </w:r>
      <w:r w:rsidR="00BC166E" w:rsidRPr="001209DF">
        <w:rPr>
          <w:rFonts w:ascii="Arial" w:hAnsi="Arial" w:cs="Arial"/>
          <w:color w:val="000000" w:themeColor="text1"/>
          <w:sz w:val="20"/>
          <w:szCs w:val="20"/>
          <w:lang w:val="en-GB"/>
        </w:rPr>
        <w:t>nation</w:t>
      </w:r>
      <w:r w:rsidR="008369BF" w:rsidRPr="001209DF">
        <w:rPr>
          <w:rFonts w:ascii="Arial" w:hAnsi="Arial" w:cs="Arial"/>
          <w:color w:val="000000" w:themeColor="text1"/>
          <w:sz w:val="20"/>
          <w:szCs w:val="20"/>
          <w:lang w:val="en-GB"/>
        </w:rPr>
        <w:t>s, c</w:t>
      </w:r>
      <w:r w:rsidR="00BC166E" w:rsidRPr="001209DF">
        <w:rPr>
          <w:rFonts w:ascii="Arial" w:hAnsi="Arial" w:cs="Arial"/>
          <w:color w:val="000000" w:themeColor="text1"/>
          <w:sz w:val="20"/>
          <w:szCs w:val="20"/>
          <w:lang w:val="en-GB"/>
        </w:rPr>
        <w:t>ommunities and regions</w:t>
      </w:r>
      <w:r w:rsidR="008369BF" w:rsidRPr="001209DF">
        <w:rPr>
          <w:rFonts w:ascii="Arial" w:hAnsi="Arial" w:cs="Arial"/>
          <w:color w:val="000000" w:themeColor="text1"/>
          <w:sz w:val="20"/>
          <w:szCs w:val="20"/>
          <w:lang w:val="en-GB"/>
        </w:rPr>
        <w:t xml:space="preserve"> struggling over power, status and justice</w:t>
      </w:r>
      <w:r w:rsidR="00523E60">
        <w:rPr>
          <w:rFonts w:ascii="Arial" w:hAnsi="Arial" w:cs="Arial"/>
          <w:color w:val="000000" w:themeColor="text1"/>
          <w:sz w:val="20"/>
          <w:szCs w:val="20"/>
          <w:lang w:val="en-GB"/>
        </w:rPr>
        <w:t xml:space="preserve">; they remain </w:t>
      </w:r>
      <w:r w:rsidR="008369BF" w:rsidRPr="001209DF">
        <w:rPr>
          <w:rFonts w:ascii="Arial" w:hAnsi="Arial" w:cs="Arial"/>
          <w:color w:val="000000" w:themeColor="text1"/>
          <w:sz w:val="20"/>
          <w:szCs w:val="20"/>
          <w:lang w:val="en-GB"/>
        </w:rPr>
        <w:t xml:space="preserve">unyielding in the determination to keep the state nation intact </w:t>
      </w:r>
      <w:r w:rsidR="0021118B" w:rsidRPr="001209DF">
        <w:rPr>
          <w:rFonts w:ascii="Arial" w:hAnsi="Arial" w:cs="Arial"/>
          <w:color w:val="000000" w:themeColor="text1"/>
          <w:sz w:val="20"/>
          <w:szCs w:val="20"/>
          <w:lang w:val="en-GB"/>
        </w:rPr>
        <w:t>but willing to experiment with flexible forms</w:t>
      </w:r>
      <w:r w:rsidR="009754D8" w:rsidRPr="001209DF">
        <w:rPr>
          <w:rFonts w:ascii="Arial" w:hAnsi="Arial" w:cs="Arial"/>
          <w:color w:val="000000" w:themeColor="text1"/>
          <w:sz w:val="20"/>
          <w:szCs w:val="20"/>
          <w:lang w:val="en-GB"/>
        </w:rPr>
        <w:t xml:space="preserve"> including self rule in ethnically determined autonomous territorial areas. </w:t>
      </w:r>
    </w:p>
    <w:p w:rsidR="00B70EA9" w:rsidRPr="001209DF" w:rsidRDefault="00B70EA9" w:rsidP="00001F6A">
      <w:pPr>
        <w:spacing w:after="0" w:line="240" w:lineRule="auto"/>
        <w:jc w:val="both"/>
        <w:rPr>
          <w:rFonts w:ascii="Arial" w:hAnsi="Arial" w:cs="Arial"/>
          <w:color w:val="000000" w:themeColor="text1"/>
          <w:sz w:val="20"/>
          <w:szCs w:val="20"/>
          <w:lang w:val="en-GB"/>
        </w:rPr>
      </w:pPr>
    </w:p>
    <w:p w:rsidR="004A29DF" w:rsidRDefault="009754D8"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T</w:t>
      </w:r>
      <w:r w:rsidR="00C52D8D" w:rsidRPr="001209DF">
        <w:rPr>
          <w:rFonts w:ascii="Arial" w:hAnsi="Arial" w:cs="Arial"/>
          <w:color w:val="000000" w:themeColor="text1"/>
          <w:sz w:val="20"/>
          <w:szCs w:val="20"/>
          <w:lang w:val="en-GB"/>
        </w:rPr>
        <w:t xml:space="preserve">he constitutional edifice provides for </w:t>
      </w:r>
      <w:r w:rsidR="00BD2944" w:rsidRPr="001209DF">
        <w:rPr>
          <w:rFonts w:ascii="Arial" w:hAnsi="Arial" w:cs="Arial"/>
          <w:color w:val="000000" w:themeColor="text1"/>
          <w:sz w:val="20"/>
          <w:szCs w:val="20"/>
          <w:lang w:val="en-GB"/>
        </w:rPr>
        <w:t xml:space="preserve">a </w:t>
      </w:r>
      <w:r w:rsidR="00BD2944" w:rsidRPr="001209DF">
        <w:rPr>
          <w:rFonts w:ascii="Arial" w:hAnsi="Arial" w:cs="Arial"/>
          <w:b/>
          <w:color w:val="000000" w:themeColor="text1"/>
          <w:sz w:val="20"/>
          <w:szCs w:val="20"/>
          <w:lang w:val="en-GB"/>
        </w:rPr>
        <w:t>quasi-federal structure with a unitary bias</w:t>
      </w:r>
      <w:r w:rsidR="00A03E5D" w:rsidRPr="001209DF">
        <w:rPr>
          <w:rFonts w:ascii="Arial" w:hAnsi="Arial" w:cs="Arial"/>
          <w:color w:val="000000" w:themeColor="text1"/>
          <w:sz w:val="20"/>
          <w:szCs w:val="20"/>
          <w:lang w:val="en-GB"/>
        </w:rPr>
        <w:t>.</w:t>
      </w:r>
      <w:r w:rsidR="00EA3E81" w:rsidRPr="001209DF">
        <w:rPr>
          <w:rFonts w:ascii="Arial" w:hAnsi="Arial" w:cs="Arial"/>
          <w:color w:val="000000" w:themeColor="text1"/>
          <w:sz w:val="20"/>
          <w:szCs w:val="20"/>
          <w:lang w:val="en-GB"/>
        </w:rPr>
        <w:t xml:space="preserve"> The States Re-organisation Commission en</w:t>
      </w:r>
      <w:r w:rsidRPr="001209DF">
        <w:rPr>
          <w:rFonts w:ascii="Arial" w:hAnsi="Arial" w:cs="Arial"/>
          <w:color w:val="000000" w:themeColor="text1"/>
          <w:sz w:val="20"/>
          <w:szCs w:val="20"/>
          <w:lang w:val="en-GB"/>
        </w:rPr>
        <w:t xml:space="preserve">abled </w:t>
      </w:r>
      <w:r w:rsidR="00EA3E81" w:rsidRPr="001209DF">
        <w:rPr>
          <w:rFonts w:ascii="Arial" w:hAnsi="Arial" w:cs="Arial"/>
          <w:color w:val="000000" w:themeColor="text1"/>
          <w:sz w:val="20"/>
          <w:szCs w:val="20"/>
          <w:lang w:val="en-GB"/>
        </w:rPr>
        <w:t>statehood for major linguistic groups</w:t>
      </w:r>
      <w:r w:rsidR="00D42753" w:rsidRPr="001209DF">
        <w:rPr>
          <w:rFonts w:ascii="Arial" w:hAnsi="Arial" w:cs="Arial"/>
          <w:color w:val="000000" w:themeColor="text1"/>
          <w:sz w:val="20"/>
          <w:szCs w:val="20"/>
          <w:lang w:val="en-GB"/>
        </w:rPr>
        <w:t xml:space="preserve">, </w:t>
      </w:r>
      <w:r w:rsidR="000871FA" w:rsidRPr="001209DF">
        <w:rPr>
          <w:rFonts w:ascii="Arial" w:hAnsi="Arial" w:cs="Arial"/>
          <w:color w:val="000000" w:themeColor="text1"/>
          <w:sz w:val="20"/>
          <w:szCs w:val="20"/>
          <w:lang w:val="en-GB"/>
        </w:rPr>
        <w:t xml:space="preserve">and </w:t>
      </w:r>
      <w:r w:rsidR="00D42753" w:rsidRPr="001209DF">
        <w:rPr>
          <w:rFonts w:ascii="Arial" w:hAnsi="Arial" w:cs="Arial"/>
          <w:color w:val="000000" w:themeColor="text1"/>
          <w:sz w:val="20"/>
          <w:szCs w:val="20"/>
          <w:lang w:val="en-GB"/>
        </w:rPr>
        <w:t>that process is still ongoing.</w:t>
      </w:r>
      <w:r w:rsidR="00EA3E81" w:rsidRPr="001209DF">
        <w:rPr>
          <w:rFonts w:ascii="Arial" w:hAnsi="Arial" w:cs="Arial"/>
          <w:color w:val="000000" w:themeColor="text1"/>
          <w:sz w:val="20"/>
          <w:szCs w:val="20"/>
          <w:lang w:val="en-GB"/>
        </w:rPr>
        <w:t xml:space="preserve"> </w:t>
      </w:r>
      <w:r w:rsidR="00EB3028" w:rsidRPr="001209DF">
        <w:rPr>
          <w:rFonts w:ascii="Arial" w:hAnsi="Arial" w:cs="Arial"/>
          <w:color w:val="000000" w:themeColor="text1"/>
          <w:sz w:val="20"/>
          <w:szCs w:val="20"/>
          <w:lang w:val="en-GB"/>
        </w:rPr>
        <w:t xml:space="preserve">Reflecting the particular </w:t>
      </w:r>
      <w:r w:rsidR="00BC166E" w:rsidRPr="001209DF">
        <w:rPr>
          <w:rFonts w:ascii="Arial" w:hAnsi="Arial" w:cs="Arial"/>
          <w:color w:val="000000" w:themeColor="text1"/>
          <w:sz w:val="20"/>
          <w:szCs w:val="20"/>
          <w:lang w:val="en-GB"/>
        </w:rPr>
        <w:t>socio-</w:t>
      </w:r>
      <w:r w:rsidR="00EB3028" w:rsidRPr="001209DF">
        <w:rPr>
          <w:rFonts w:ascii="Arial" w:hAnsi="Arial" w:cs="Arial"/>
          <w:color w:val="000000" w:themeColor="text1"/>
          <w:sz w:val="20"/>
          <w:szCs w:val="20"/>
          <w:lang w:val="en-GB"/>
        </w:rPr>
        <w:t xml:space="preserve">historical circumstances of the </w:t>
      </w:r>
      <w:r w:rsidR="00BC166E" w:rsidRPr="001209DF">
        <w:rPr>
          <w:rFonts w:ascii="Arial" w:hAnsi="Arial" w:cs="Arial"/>
          <w:color w:val="000000" w:themeColor="text1"/>
          <w:sz w:val="20"/>
          <w:szCs w:val="20"/>
          <w:lang w:val="en-GB"/>
        </w:rPr>
        <w:t xml:space="preserve">incorporation of </w:t>
      </w:r>
      <w:r w:rsidR="00EA3E81" w:rsidRPr="001209DF">
        <w:rPr>
          <w:rFonts w:ascii="Arial" w:hAnsi="Arial" w:cs="Arial"/>
          <w:color w:val="000000" w:themeColor="text1"/>
          <w:sz w:val="20"/>
          <w:szCs w:val="20"/>
          <w:lang w:val="en-GB"/>
        </w:rPr>
        <w:t xml:space="preserve">certain border </w:t>
      </w:r>
      <w:r w:rsidR="00EB3028" w:rsidRPr="001209DF">
        <w:rPr>
          <w:rFonts w:ascii="Arial" w:hAnsi="Arial" w:cs="Arial"/>
          <w:color w:val="000000" w:themeColor="text1"/>
          <w:sz w:val="20"/>
          <w:szCs w:val="20"/>
          <w:lang w:val="en-GB"/>
        </w:rPr>
        <w:t>regions in</w:t>
      </w:r>
      <w:r w:rsidRPr="001209DF">
        <w:rPr>
          <w:rFonts w:ascii="Arial" w:hAnsi="Arial" w:cs="Arial"/>
          <w:color w:val="000000" w:themeColor="text1"/>
          <w:sz w:val="20"/>
          <w:szCs w:val="20"/>
          <w:lang w:val="en-GB"/>
        </w:rPr>
        <w:t>to</w:t>
      </w:r>
      <w:r w:rsidR="00A03E5D" w:rsidRPr="001209DF">
        <w:rPr>
          <w:rFonts w:ascii="Arial" w:hAnsi="Arial" w:cs="Arial"/>
          <w:color w:val="000000" w:themeColor="text1"/>
          <w:sz w:val="20"/>
          <w:szCs w:val="20"/>
          <w:lang w:val="en-GB"/>
        </w:rPr>
        <w:t xml:space="preserve"> the Indian Union, special status is provided for</w:t>
      </w:r>
      <w:r w:rsidR="000871FA" w:rsidRPr="001209DF">
        <w:rPr>
          <w:rFonts w:ascii="Arial" w:hAnsi="Arial" w:cs="Arial"/>
          <w:color w:val="000000" w:themeColor="text1"/>
          <w:sz w:val="20"/>
          <w:szCs w:val="20"/>
          <w:lang w:val="en-GB"/>
        </w:rPr>
        <w:t xml:space="preserve">: </w:t>
      </w:r>
      <w:r w:rsidR="00A03E5D" w:rsidRPr="001209DF">
        <w:rPr>
          <w:rFonts w:ascii="Arial" w:hAnsi="Arial" w:cs="Arial"/>
          <w:color w:val="000000" w:themeColor="text1"/>
          <w:sz w:val="20"/>
          <w:szCs w:val="20"/>
          <w:lang w:val="en-GB"/>
        </w:rPr>
        <w:t xml:space="preserve">Jammu &amp; Kashmir </w:t>
      </w:r>
      <w:r w:rsidR="000871FA" w:rsidRPr="001209DF">
        <w:rPr>
          <w:rFonts w:ascii="Arial" w:hAnsi="Arial" w:cs="Arial"/>
          <w:color w:val="000000" w:themeColor="text1"/>
          <w:sz w:val="20"/>
          <w:szCs w:val="20"/>
          <w:lang w:val="en-GB"/>
        </w:rPr>
        <w:t xml:space="preserve">(J&amp;K) </w:t>
      </w:r>
      <w:r w:rsidR="00A03E5D" w:rsidRPr="001209DF">
        <w:rPr>
          <w:rFonts w:ascii="Arial" w:hAnsi="Arial" w:cs="Arial"/>
          <w:color w:val="000000" w:themeColor="text1"/>
          <w:sz w:val="20"/>
          <w:szCs w:val="20"/>
          <w:lang w:val="en-GB"/>
        </w:rPr>
        <w:t>(Article 370)</w:t>
      </w:r>
      <w:r w:rsidR="00EB3028" w:rsidRPr="001209DF">
        <w:rPr>
          <w:rFonts w:ascii="Arial" w:hAnsi="Arial" w:cs="Arial"/>
          <w:color w:val="000000" w:themeColor="text1"/>
          <w:sz w:val="20"/>
          <w:szCs w:val="20"/>
          <w:lang w:val="en-GB"/>
        </w:rPr>
        <w:t>;</w:t>
      </w:r>
      <w:r w:rsidR="000871FA" w:rsidRPr="001209DF">
        <w:rPr>
          <w:rFonts w:ascii="Arial" w:hAnsi="Arial" w:cs="Arial"/>
          <w:color w:val="000000" w:themeColor="text1"/>
          <w:sz w:val="20"/>
          <w:szCs w:val="20"/>
          <w:lang w:val="en-GB"/>
        </w:rPr>
        <w:t xml:space="preserve"> </w:t>
      </w:r>
      <w:r w:rsidR="00EA3E81" w:rsidRPr="001209DF">
        <w:rPr>
          <w:rFonts w:ascii="Arial" w:hAnsi="Arial" w:cs="Arial"/>
          <w:color w:val="000000" w:themeColor="text1"/>
          <w:sz w:val="20"/>
          <w:szCs w:val="20"/>
          <w:lang w:val="en-GB"/>
        </w:rPr>
        <w:t xml:space="preserve">and </w:t>
      </w:r>
      <w:r w:rsidRPr="001209DF">
        <w:rPr>
          <w:rFonts w:ascii="Arial" w:hAnsi="Arial" w:cs="Arial"/>
          <w:color w:val="000000" w:themeColor="text1"/>
          <w:sz w:val="20"/>
          <w:szCs w:val="20"/>
          <w:lang w:val="en-GB"/>
        </w:rPr>
        <w:t xml:space="preserve">the </w:t>
      </w:r>
      <w:r w:rsidR="00EA3E81" w:rsidRPr="001209DF">
        <w:rPr>
          <w:rFonts w:ascii="Arial" w:hAnsi="Arial" w:cs="Arial"/>
          <w:color w:val="000000" w:themeColor="text1"/>
          <w:sz w:val="20"/>
          <w:szCs w:val="20"/>
          <w:lang w:val="en-GB"/>
        </w:rPr>
        <w:t xml:space="preserve">Northeast states of </w:t>
      </w:r>
      <w:r w:rsidR="00BC166E" w:rsidRPr="001209DF">
        <w:rPr>
          <w:rFonts w:ascii="Arial" w:hAnsi="Arial" w:cs="Arial"/>
          <w:color w:val="000000" w:themeColor="text1"/>
          <w:sz w:val="20"/>
          <w:szCs w:val="20"/>
          <w:lang w:val="en-GB"/>
        </w:rPr>
        <w:t>Nagaland, Sikkim, Assam, Manipur, Arunachal Pradesh (Articles 371 A-H)</w:t>
      </w:r>
      <w:r w:rsidR="00EA3E81" w:rsidRPr="001209DF">
        <w:rPr>
          <w:rFonts w:ascii="Arial" w:hAnsi="Arial" w:cs="Arial"/>
          <w:color w:val="000000" w:themeColor="text1"/>
          <w:sz w:val="20"/>
          <w:szCs w:val="20"/>
          <w:lang w:val="en-GB"/>
        </w:rPr>
        <w:t>.</w:t>
      </w:r>
      <w:r w:rsidR="00D42753" w:rsidRPr="001209DF">
        <w:rPr>
          <w:rFonts w:ascii="Arial" w:hAnsi="Arial" w:cs="Arial"/>
          <w:color w:val="000000" w:themeColor="text1"/>
          <w:sz w:val="20"/>
          <w:szCs w:val="20"/>
          <w:lang w:val="en-GB"/>
        </w:rPr>
        <w:t xml:space="preserve"> </w:t>
      </w:r>
      <w:r w:rsidR="00916B3D" w:rsidRPr="001209DF">
        <w:rPr>
          <w:rFonts w:ascii="Arial" w:hAnsi="Arial" w:cs="Arial"/>
          <w:color w:val="000000" w:themeColor="text1"/>
          <w:sz w:val="20"/>
          <w:szCs w:val="20"/>
          <w:lang w:val="en-GB"/>
        </w:rPr>
        <w:t>Articles 370 &amp; 371 are the flag bearers of India’s bold experiments with</w:t>
      </w:r>
      <w:r w:rsidR="00D42753" w:rsidRPr="001209DF">
        <w:rPr>
          <w:rFonts w:ascii="Arial" w:hAnsi="Arial" w:cs="Arial"/>
          <w:color w:val="000000" w:themeColor="text1"/>
          <w:sz w:val="20"/>
          <w:szCs w:val="20"/>
          <w:lang w:val="en-GB"/>
        </w:rPr>
        <w:t xml:space="preserve"> </w:t>
      </w:r>
      <w:r w:rsidR="00916B3D" w:rsidRPr="001209DF">
        <w:rPr>
          <w:rFonts w:ascii="Arial" w:hAnsi="Arial" w:cs="Arial"/>
          <w:b/>
          <w:color w:val="000000" w:themeColor="text1"/>
          <w:sz w:val="20"/>
          <w:szCs w:val="20"/>
          <w:lang w:val="en-GB"/>
        </w:rPr>
        <w:t>asymmetric federalism and special autonomies</w:t>
      </w:r>
      <w:r w:rsidR="00916B3D" w:rsidRPr="001209DF">
        <w:rPr>
          <w:rFonts w:ascii="Arial" w:hAnsi="Arial" w:cs="Arial"/>
          <w:color w:val="000000" w:themeColor="text1"/>
          <w:sz w:val="20"/>
          <w:szCs w:val="20"/>
          <w:lang w:val="en-GB"/>
        </w:rPr>
        <w:t>. Art</w:t>
      </w:r>
      <w:r w:rsidR="00F91F85" w:rsidRPr="001209DF">
        <w:rPr>
          <w:rFonts w:ascii="Arial" w:hAnsi="Arial" w:cs="Arial"/>
          <w:color w:val="000000" w:themeColor="text1"/>
          <w:sz w:val="20"/>
          <w:szCs w:val="20"/>
          <w:lang w:val="en-GB"/>
        </w:rPr>
        <w:t>icle</w:t>
      </w:r>
      <w:r w:rsidR="00916B3D" w:rsidRPr="001209DF">
        <w:rPr>
          <w:rFonts w:ascii="Arial" w:hAnsi="Arial" w:cs="Arial"/>
          <w:color w:val="000000" w:themeColor="text1"/>
          <w:sz w:val="20"/>
          <w:szCs w:val="20"/>
          <w:lang w:val="en-GB"/>
        </w:rPr>
        <w:t xml:space="preserve"> 370 </w:t>
      </w:r>
      <w:r w:rsidR="00F91F85" w:rsidRPr="001209DF">
        <w:rPr>
          <w:rFonts w:ascii="Arial" w:hAnsi="Arial" w:cs="Arial"/>
          <w:color w:val="000000" w:themeColor="text1"/>
          <w:sz w:val="20"/>
          <w:szCs w:val="20"/>
          <w:lang w:val="en-GB"/>
        </w:rPr>
        <w:t xml:space="preserve">allowed Jammu &amp; Kashmir </w:t>
      </w:r>
      <w:r w:rsidR="00916B3D" w:rsidRPr="001209DF">
        <w:rPr>
          <w:rFonts w:ascii="Arial" w:hAnsi="Arial" w:cs="Arial"/>
          <w:color w:val="000000" w:themeColor="text1"/>
          <w:sz w:val="20"/>
          <w:szCs w:val="20"/>
          <w:lang w:val="en-GB"/>
        </w:rPr>
        <w:t xml:space="preserve">to have </w:t>
      </w:r>
      <w:r w:rsidR="00F91F85" w:rsidRPr="001209DF">
        <w:rPr>
          <w:rFonts w:ascii="Arial" w:hAnsi="Arial" w:cs="Arial"/>
          <w:color w:val="000000" w:themeColor="text1"/>
          <w:sz w:val="20"/>
          <w:szCs w:val="20"/>
          <w:lang w:val="en-GB"/>
        </w:rPr>
        <w:t xml:space="preserve">its </w:t>
      </w:r>
      <w:r w:rsidR="00916B3D" w:rsidRPr="001209DF">
        <w:rPr>
          <w:rFonts w:ascii="Arial" w:hAnsi="Arial" w:cs="Arial"/>
          <w:color w:val="000000" w:themeColor="text1"/>
          <w:sz w:val="20"/>
          <w:szCs w:val="20"/>
          <w:lang w:val="en-GB"/>
        </w:rPr>
        <w:t>own constitution</w:t>
      </w:r>
      <w:r w:rsidR="00F91F85" w:rsidRPr="001209DF">
        <w:rPr>
          <w:rFonts w:ascii="Arial" w:hAnsi="Arial" w:cs="Arial"/>
          <w:color w:val="000000" w:themeColor="text1"/>
          <w:sz w:val="20"/>
          <w:szCs w:val="20"/>
          <w:lang w:val="en-GB"/>
        </w:rPr>
        <w:t xml:space="preserve">, restricted the </w:t>
      </w:r>
      <w:r w:rsidR="00916B3D" w:rsidRPr="001209DF">
        <w:rPr>
          <w:rFonts w:ascii="Arial" w:hAnsi="Arial" w:cs="Arial"/>
          <w:color w:val="000000" w:themeColor="text1"/>
          <w:sz w:val="20"/>
          <w:szCs w:val="20"/>
          <w:lang w:val="en-GB"/>
        </w:rPr>
        <w:t>national parl</w:t>
      </w:r>
      <w:r w:rsidR="00F91F85" w:rsidRPr="001209DF">
        <w:rPr>
          <w:rFonts w:ascii="Arial" w:hAnsi="Arial" w:cs="Arial"/>
          <w:color w:val="000000" w:themeColor="text1"/>
          <w:sz w:val="20"/>
          <w:szCs w:val="20"/>
          <w:lang w:val="en-GB"/>
        </w:rPr>
        <w:t>iament’s</w:t>
      </w:r>
      <w:r w:rsidR="00916B3D" w:rsidRPr="001209DF">
        <w:rPr>
          <w:rFonts w:ascii="Arial" w:hAnsi="Arial" w:cs="Arial"/>
          <w:color w:val="000000" w:themeColor="text1"/>
          <w:sz w:val="20"/>
          <w:szCs w:val="20"/>
          <w:lang w:val="en-GB"/>
        </w:rPr>
        <w:t xml:space="preserve"> legislative power</w:t>
      </w:r>
      <w:r w:rsidR="00F91F85" w:rsidRPr="001209DF">
        <w:rPr>
          <w:rFonts w:ascii="Arial" w:hAnsi="Arial" w:cs="Arial"/>
          <w:color w:val="000000" w:themeColor="text1"/>
          <w:sz w:val="20"/>
          <w:szCs w:val="20"/>
          <w:lang w:val="en-GB"/>
        </w:rPr>
        <w:t>s to</w:t>
      </w:r>
      <w:r w:rsidR="00D42753" w:rsidRPr="001209DF">
        <w:rPr>
          <w:rFonts w:ascii="Arial" w:hAnsi="Arial" w:cs="Arial"/>
          <w:color w:val="000000" w:themeColor="text1"/>
          <w:sz w:val="20"/>
          <w:szCs w:val="20"/>
          <w:lang w:val="en-GB"/>
        </w:rPr>
        <w:t xml:space="preserve"> </w:t>
      </w:r>
      <w:r w:rsidR="00F91F85" w:rsidRPr="001209DF">
        <w:rPr>
          <w:rFonts w:ascii="Arial" w:hAnsi="Arial" w:cs="Arial"/>
          <w:color w:val="000000" w:themeColor="text1"/>
          <w:sz w:val="20"/>
          <w:szCs w:val="20"/>
          <w:lang w:val="en-GB"/>
        </w:rPr>
        <w:t xml:space="preserve">three </w:t>
      </w:r>
      <w:r w:rsidR="00916B3D" w:rsidRPr="001209DF">
        <w:rPr>
          <w:rFonts w:ascii="Arial" w:hAnsi="Arial" w:cs="Arial"/>
          <w:color w:val="000000" w:themeColor="text1"/>
          <w:sz w:val="20"/>
          <w:szCs w:val="20"/>
          <w:lang w:val="en-GB"/>
        </w:rPr>
        <w:t>subjects</w:t>
      </w:r>
      <w:r w:rsidR="000871FA" w:rsidRPr="001209DF">
        <w:rPr>
          <w:rFonts w:ascii="Arial" w:hAnsi="Arial" w:cs="Arial"/>
          <w:color w:val="000000" w:themeColor="text1"/>
          <w:sz w:val="20"/>
          <w:szCs w:val="20"/>
          <w:lang w:val="en-GB"/>
        </w:rPr>
        <w:t>;</w:t>
      </w:r>
      <w:r w:rsidR="00F91F85" w:rsidRPr="001209DF">
        <w:rPr>
          <w:rFonts w:ascii="Arial" w:hAnsi="Arial" w:cs="Arial"/>
          <w:color w:val="000000" w:themeColor="text1"/>
          <w:sz w:val="20"/>
          <w:szCs w:val="20"/>
          <w:lang w:val="en-GB"/>
        </w:rPr>
        <w:t xml:space="preserve"> other constitutional provisions could be extended but only with the concurrence of </w:t>
      </w:r>
      <w:r w:rsidR="00D42753" w:rsidRPr="001209DF">
        <w:rPr>
          <w:rFonts w:ascii="Arial" w:hAnsi="Arial" w:cs="Arial"/>
          <w:color w:val="000000" w:themeColor="text1"/>
          <w:sz w:val="20"/>
          <w:szCs w:val="20"/>
          <w:lang w:val="en-GB"/>
        </w:rPr>
        <w:t>J&amp;K</w:t>
      </w:r>
      <w:r w:rsidR="00F91F85" w:rsidRPr="001209DF">
        <w:rPr>
          <w:rFonts w:ascii="Arial" w:hAnsi="Arial" w:cs="Arial"/>
          <w:color w:val="000000" w:themeColor="text1"/>
          <w:sz w:val="20"/>
          <w:szCs w:val="20"/>
          <w:lang w:val="en-GB"/>
        </w:rPr>
        <w:t xml:space="preserve"> </w:t>
      </w:r>
      <w:r w:rsidR="00916B3D" w:rsidRPr="001209DF">
        <w:rPr>
          <w:rFonts w:ascii="Arial" w:hAnsi="Arial" w:cs="Arial"/>
          <w:color w:val="000000" w:themeColor="text1"/>
          <w:sz w:val="20"/>
          <w:szCs w:val="20"/>
          <w:lang w:val="en-GB"/>
        </w:rPr>
        <w:t>state g</w:t>
      </w:r>
      <w:r w:rsidR="00F91F85" w:rsidRPr="001209DF">
        <w:rPr>
          <w:rFonts w:ascii="Arial" w:hAnsi="Arial" w:cs="Arial"/>
          <w:color w:val="000000" w:themeColor="text1"/>
          <w:sz w:val="20"/>
          <w:szCs w:val="20"/>
          <w:lang w:val="en-GB"/>
        </w:rPr>
        <w:t>o</w:t>
      </w:r>
      <w:r w:rsidR="00916B3D" w:rsidRPr="001209DF">
        <w:rPr>
          <w:rFonts w:ascii="Arial" w:hAnsi="Arial" w:cs="Arial"/>
          <w:color w:val="000000" w:themeColor="text1"/>
          <w:sz w:val="20"/>
          <w:szCs w:val="20"/>
          <w:lang w:val="en-GB"/>
        </w:rPr>
        <w:t>ver</w:t>
      </w:r>
      <w:r w:rsidR="00F91F85" w:rsidRPr="001209DF">
        <w:rPr>
          <w:rFonts w:ascii="Arial" w:hAnsi="Arial" w:cs="Arial"/>
          <w:color w:val="000000" w:themeColor="text1"/>
          <w:sz w:val="20"/>
          <w:szCs w:val="20"/>
          <w:lang w:val="en-GB"/>
        </w:rPr>
        <w:t>nment. Article 371 provides that</w:t>
      </w:r>
      <w:r w:rsidR="005D6312" w:rsidRPr="001209DF">
        <w:rPr>
          <w:rFonts w:ascii="Arial" w:hAnsi="Arial" w:cs="Arial"/>
          <w:color w:val="000000" w:themeColor="text1"/>
          <w:sz w:val="20"/>
          <w:szCs w:val="20"/>
          <w:lang w:val="en-GB"/>
        </w:rPr>
        <w:t xml:space="preserve"> no Act of Parliament in respect of</w:t>
      </w:r>
      <w:r w:rsidR="00F91F85" w:rsidRPr="001209DF">
        <w:rPr>
          <w:rFonts w:ascii="Arial" w:hAnsi="Arial" w:cs="Arial"/>
          <w:color w:val="000000" w:themeColor="text1"/>
          <w:sz w:val="20"/>
          <w:szCs w:val="20"/>
          <w:lang w:val="en-GB"/>
        </w:rPr>
        <w:t xml:space="preserve"> </w:t>
      </w:r>
      <w:r w:rsidR="000871FA" w:rsidRPr="001209DF">
        <w:rPr>
          <w:rFonts w:ascii="Arial" w:hAnsi="Arial" w:cs="Arial"/>
          <w:color w:val="000000" w:themeColor="text1"/>
          <w:sz w:val="20"/>
          <w:szCs w:val="20"/>
          <w:lang w:val="en-GB"/>
        </w:rPr>
        <w:t>“</w:t>
      </w:r>
      <w:r w:rsidR="00F91F85" w:rsidRPr="001209DF">
        <w:rPr>
          <w:rFonts w:ascii="Arial" w:hAnsi="Arial" w:cs="Arial"/>
          <w:color w:val="000000" w:themeColor="text1"/>
          <w:sz w:val="20"/>
          <w:szCs w:val="20"/>
          <w:lang w:val="en-GB"/>
        </w:rPr>
        <w:t xml:space="preserve">social practices, customary law </w:t>
      </w:r>
      <w:r w:rsidR="005D6312" w:rsidRPr="001209DF">
        <w:rPr>
          <w:rFonts w:ascii="Arial" w:hAnsi="Arial" w:cs="Arial"/>
          <w:color w:val="000000" w:themeColor="text1"/>
          <w:sz w:val="20"/>
          <w:szCs w:val="20"/>
          <w:lang w:val="en-GB"/>
        </w:rPr>
        <w:t xml:space="preserve">and procedure, </w:t>
      </w:r>
      <w:r w:rsidR="00F91F85" w:rsidRPr="001209DF">
        <w:rPr>
          <w:rFonts w:ascii="Arial" w:hAnsi="Arial" w:cs="Arial"/>
          <w:color w:val="000000" w:themeColor="text1"/>
          <w:sz w:val="20"/>
          <w:szCs w:val="20"/>
          <w:lang w:val="en-GB"/>
        </w:rPr>
        <w:t xml:space="preserve">administration of civil and criminal justice </w:t>
      </w:r>
      <w:r w:rsidR="005D6312" w:rsidRPr="001209DF">
        <w:rPr>
          <w:rFonts w:ascii="Arial" w:hAnsi="Arial" w:cs="Arial"/>
          <w:color w:val="000000" w:themeColor="text1"/>
          <w:sz w:val="20"/>
          <w:szCs w:val="20"/>
          <w:lang w:val="en-GB"/>
        </w:rPr>
        <w:t>and ownership and transfer of land and resources</w:t>
      </w:r>
      <w:r w:rsidR="000871FA" w:rsidRPr="001209DF">
        <w:rPr>
          <w:rFonts w:ascii="Arial" w:hAnsi="Arial" w:cs="Arial"/>
          <w:color w:val="000000" w:themeColor="text1"/>
          <w:sz w:val="20"/>
          <w:szCs w:val="20"/>
          <w:lang w:val="en-GB"/>
        </w:rPr>
        <w:t>”</w:t>
      </w:r>
      <w:r w:rsidR="005D6312" w:rsidRPr="001209DF">
        <w:rPr>
          <w:rFonts w:ascii="Arial" w:hAnsi="Arial" w:cs="Arial"/>
          <w:color w:val="000000" w:themeColor="text1"/>
          <w:sz w:val="20"/>
          <w:szCs w:val="20"/>
          <w:lang w:val="en-GB"/>
        </w:rPr>
        <w:t xml:space="preserve"> shall apply to these </w:t>
      </w:r>
      <w:r w:rsidR="000871FA" w:rsidRPr="001209DF">
        <w:rPr>
          <w:rFonts w:ascii="Arial" w:hAnsi="Arial" w:cs="Arial"/>
          <w:color w:val="000000" w:themeColor="text1"/>
          <w:sz w:val="20"/>
          <w:szCs w:val="20"/>
          <w:lang w:val="en-GB"/>
        </w:rPr>
        <w:t>“</w:t>
      </w:r>
      <w:r w:rsidR="005D6312" w:rsidRPr="001209DF">
        <w:rPr>
          <w:rFonts w:ascii="Arial" w:hAnsi="Arial" w:cs="Arial"/>
          <w:color w:val="000000" w:themeColor="text1"/>
          <w:sz w:val="20"/>
          <w:szCs w:val="20"/>
          <w:lang w:val="en-GB"/>
        </w:rPr>
        <w:t>special category states</w:t>
      </w:r>
      <w:r w:rsidR="000871FA" w:rsidRPr="001209DF">
        <w:rPr>
          <w:rFonts w:ascii="Arial" w:hAnsi="Arial" w:cs="Arial"/>
          <w:color w:val="000000" w:themeColor="text1"/>
          <w:sz w:val="20"/>
          <w:szCs w:val="20"/>
          <w:lang w:val="en-GB"/>
        </w:rPr>
        <w:t>”</w:t>
      </w:r>
      <w:r w:rsidR="005D6312" w:rsidRPr="001209DF">
        <w:rPr>
          <w:rFonts w:ascii="Arial" w:hAnsi="Arial" w:cs="Arial"/>
          <w:color w:val="000000" w:themeColor="text1"/>
          <w:sz w:val="20"/>
          <w:szCs w:val="20"/>
          <w:lang w:val="en-GB"/>
        </w:rPr>
        <w:t xml:space="preserve"> unless the state legislative assemblies so decide. </w:t>
      </w:r>
      <w:r w:rsidR="00D42753" w:rsidRPr="001209DF">
        <w:rPr>
          <w:rFonts w:ascii="Arial" w:hAnsi="Arial" w:cs="Arial"/>
          <w:color w:val="000000" w:themeColor="text1"/>
          <w:sz w:val="20"/>
          <w:szCs w:val="20"/>
          <w:lang w:val="en-GB"/>
        </w:rPr>
        <w:t xml:space="preserve">The constitution also provides for </w:t>
      </w:r>
      <w:r w:rsidR="00A36393" w:rsidRPr="001209DF">
        <w:rPr>
          <w:rFonts w:ascii="Arial" w:hAnsi="Arial" w:cs="Arial"/>
          <w:color w:val="000000" w:themeColor="text1"/>
          <w:sz w:val="20"/>
          <w:szCs w:val="20"/>
          <w:lang w:val="en-GB"/>
        </w:rPr>
        <w:t>the creation of</w:t>
      </w:r>
      <w:r w:rsidR="00EA3E81" w:rsidRPr="001209DF">
        <w:rPr>
          <w:rFonts w:ascii="Arial" w:hAnsi="Arial" w:cs="Arial"/>
          <w:color w:val="000000" w:themeColor="text1"/>
          <w:sz w:val="20"/>
          <w:szCs w:val="20"/>
          <w:lang w:val="en-GB"/>
        </w:rPr>
        <w:t xml:space="preserve"> autonomous district councils in </w:t>
      </w:r>
      <w:r w:rsidR="000871FA" w:rsidRPr="001209DF">
        <w:rPr>
          <w:rFonts w:ascii="Arial" w:hAnsi="Arial" w:cs="Arial"/>
          <w:color w:val="000000" w:themeColor="text1"/>
          <w:sz w:val="20"/>
          <w:szCs w:val="20"/>
          <w:lang w:val="en-GB"/>
        </w:rPr>
        <w:t>“</w:t>
      </w:r>
      <w:r w:rsidR="006F7E2E" w:rsidRPr="001209DF">
        <w:rPr>
          <w:rFonts w:ascii="Arial" w:hAnsi="Arial" w:cs="Arial"/>
          <w:color w:val="000000" w:themeColor="text1"/>
          <w:sz w:val="20"/>
          <w:szCs w:val="20"/>
          <w:lang w:val="en-GB"/>
        </w:rPr>
        <w:t>scheduled tribe</w:t>
      </w:r>
      <w:r w:rsidR="000871FA" w:rsidRPr="001209DF">
        <w:rPr>
          <w:rFonts w:ascii="Arial" w:hAnsi="Arial" w:cs="Arial"/>
          <w:color w:val="000000" w:themeColor="text1"/>
          <w:sz w:val="20"/>
          <w:szCs w:val="20"/>
          <w:lang w:val="en-GB"/>
        </w:rPr>
        <w:t>”</w:t>
      </w:r>
      <w:r w:rsidR="006F7E2E" w:rsidRPr="001209DF">
        <w:rPr>
          <w:rFonts w:ascii="Arial" w:hAnsi="Arial" w:cs="Arial"/>
          <w:color w:val="000000" w:themeColor="text1"/>
          <w:sz w:val="20"/>
          <w:szCs w:val="20"/>
          <w:lang w:val="en-GB"/>
        </w:rPr>
        <w:t xml:space="preserve"> dominated districts under the Fifth and Sixth Schedules</w:t>
      </w:r>
      <w:r w:rsidR="00D42753" w:rsidRPr="001209DF">
        <w:rPr>
          <w:rFonts w:ascii="Arial" w:hAnsi="Arial" w:cs="Arial"/>
          <w:color w:val="000000" w:themeColor="text1"/>
          <w:sz w:val="20"/>
          <w:szCs w:val="20"/>
          <w:lang w:val="en-GB"/>
        </w:rPr>
        <w:t>.</w:t>
      </w:r>
    </w:p>
    <w:p w:rsidR="00AF0071" w:rsidRPr="001209DF" w:rsidRDefault="00AF0071" w:rsidP="00001F6A">
      <w:pPr>
        <w:spacing w:after="0" w:line="240" w:lineRule="auto"/>
        <w:jc w:val="both"/>
        <w:rPr>
          <w:rFonts w:ascii="Arial" w:hAnsi="Arial" w:cs="Arial"/>
          <w:color w:val="000000" w:themeColor="text1"/>
          <w:sz w:val="20"/>
          <w:szCs w:val="20"/>
          <w:lang w:val="en-GB"/>
        </w:rPr>
      </w:pPr>
    </w:p>
    <w:p w:rsidR="00CB5AAB" w:rsidRPr="001209DF" w:rsidRDefault="00A73656"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Particularly in the Northeast</w:t>
      </w:r>
      <w:r w:rsidR="005D6312" w:rsidRPr="001209DF">
        <w:rPr>
          <w:rFonts w:ascii="Arial" w:hAnsi="Arial" w:cs="Arial"/>
          <w:color w:val="000000" w:themeColor="text1"/>
          <w:sz w:val="20"/>
          <w:szCs w:val="20"/>
          <w:lang w:val="en-GB"/>
        </w:rPr>
        <w:t xml:space="preserve"> area</w:t>
      </w:r>
      <w:r w:rsidRPr="001209DF">
        <w:rPr>
          <w:rFonts w:ascii="Arial" w:hAnsi="Arial" w:cs="Arial"/>
          <w:color w:val="000000" w:themeColor="text1"/>
          <w:sz w:val="20"/>
          <w:szCs w:val="20"/>
          <w:lang w:val="en-GB"/>
        </w:rPr>
        <w:t>,</w:t>
      </w:r>
      <w:r w:rsidR="00CB5AAB" w:rsidRPr="001209DF">
        <w:rPr>
          <w:rStyle w:val="FootnoteReference"/>
          <w:rFonts w:ascii="Arial" w:hAnsi="Arial" w:cs="Arial"/>
          <w:color w:val="000000" w:themeColor="text1"/>
          <w:sz w:val="20"/>
          <w:szCs w:val="20"/>
          <w:lang w:val="en-GB"/>
        </w:rPr>
        <w:footnoteReference w:id="2"/>
      </w:r>
      <w:r w:rsidR="00CB5AAB" w:rsidRPr="001209DF">
        <w:rPr>
          <w:rFonts w:ascii="Arial" w:hAnsi="Arial" w:cs="Arial"/>
          <w:color w:val="000000" w:themeColor="text1"/>
          <w:sz w:val="20"/>
          <w:szCs w:val="20"/>
          <w:lang w:val="en-GB"/>
        </w:rPr>
        <w:t xml:space="preserve"> constituted by the British colonialists as a “frontier” region with its population of hill tribes kept physically separated and isolated, India’s constituent assembly created a buffer of special autonomies with the aim of paving the way for the gradual integration of these historically and socially distinct peoples. Since then, a range of peace accords and executive decrees have provided the major hill communities self-rule and control over land and resources. Currently there are </w:t>
      </w:r>
      <w:r w:rsidR="00CB5AAB" w:rsidRPr="001209DF">
        <w:rPr>
          <w:rFonts w:ascii="Arial" w:hAnsi="Arial" w:cs="Arial"/>
          <w:b/>
          <w:color w:val="000000" w:themeColor="text1"/>
          <w:sz w:val="20"/>
          <w:szCs w:val="20"/>
          <w:lang w:val="en-GB"/>
        </w:rPr>
        <w:t>15 such autonomous district councils</w:t>
      </w:r>
      <w:r w:rsidR="00CB5AAB" w:rsidRPr="001209DF">
        <w:rPr>
          <w:rFonts w:ascii="Arial" w:hAnsi="Arial" w:cs="Arial"/>
          <w:color w:val="000000" w:themeColor="text1"/>
          <w:sz w:val="20"/>
          <w:szCs w:val="20"/>
          <w:lang w:val="en-GB"/>
        </w:rPr>
        <w:t xml:space="preserve"> (ADCs) in the Northeast. In the various cycles of internal reorganization of states, several ADCs were upgraded to union territory status (Mizoram) and statehood (Mizoram, Meghalaya). The </w:t>
      </w:r>
      <w:proofErr w:type="spellStart"/>
      <w:r w:rsidR="00CB5AAB" w:rsidRPr="001209DF">
        <w:rPr>
          <w:rFonts w:ascii="Arial" w:hAnsi="Arial" w:cs="Arial"/>
          <w:color w:val="000000" w:themeColor="text1"/>
          <w:sz w:val="20"/>
          <w:szCs w:val="20"/>
          <w:lang w:val="en-GB"/>
        </w:rPr>
        <w:t>Nagas</w:t>
      </w:r>
      <w:proofErr w:type="spellEnd"/>
      <w:r w:rsidR="00CB5AAB" w:rsidRPr="001209DF">
        <w:rPr>
          <w:rFonts w:ascii="Arial" w:hAnsi="Arial" w:cs="Arial"/>
          <w:color w:val="000000" w:themeColor="text1"/>
          <w:sz w:val="20"/>
          <w:szCs w:val="20"/>
          <w:lang w:val="en-GB"/>
        </w:rPr>
        <w:t xml:space="preserve"> rejected such autonomy, becoming the first ethnic community/nation to demand sovereignty. India turned its full military power to brutally suppress Naga nationalism, militarizing a struggle that has held out for six decades, despite several peace accords, including the 1960 agreement which gifted statehood to Nagaland, but did not end the conflict. </w:t>
      </w:r>
    </w:p>
    <w:p w:rsidR="00523E60" w:rsidRDefault="00523E60" w:rsidP="00001F6A">
      <w:pPr>
        <w:spacing w:after="0" w:line="240" w:lineRule="auto"/>
        <w:jc w:val="both"/>
        <w:rPr>
          <w:rFonts w:ascii="Arial" w:hAnsi="Arial" w:cs="Arial"/>
          <w:color w:val="000000" w:themeColor="text1"/>
          <w:sz w:val="20"/>
          <w:szCs w:val="20"/>
          <w:lang w:val="en-GB"/>
        </w:rPr>
      </w:pPr>
    </w:p>
    <w:p w:rsidR="00523E60"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Globally, autonomy settlements or the devolution of power through the constitutional path of regional or territorial autonomy has been held up as the most effective way of accommodating complex post-colonial ethno-geographies and histories. However, the lived experience of this legal-political construct of combining </w:t>
      </w:r>
      <w:r w:rsidRPr="001209DF">
        <w:rPr>
          <w:rFonts w:ascii="Arial" w:hAnsi="Arial" w:cs="Arial"/>
          <w:color w:val="000000" w:themeColor="text1"/>
          <w:sz w:val="20"/>
          <w:szCs w:val="20"/>
          <w:lang w:val="en-GB"/>
        </w:rPr>
        <w:lastRenderedPageBreak/>
        <w:t xml:space="preserve">nationhood with exceptional autonomies has been characterized by the </w:t>
      </w:r>
      <w:r w:rsidRPr="001209DF">
        <w:rPr>
          <w:rFonts w:ascii="Arial" w:hAnsi="Arial" w:cs="Arial"/>
          <w:b/>
          <w:color w:val="000000" w:themeColor="text1"/>
          <w:sz w:val="20"/>
          <w:szCs w:val="20"/>
          <w:lang w:val="en-GB"/>
        </w:rPr>
        <w:t>central authority of the state riding roughshod over the autonomy</w:t>
      </w:r>
      <w:r w:rsidRPr="001209DF">
        <w:rPr>
          <w:rFonts w:ascii="Arial" w:hAnsi="Arial" w:cs="Arial"/>
          <w:color w:val="000000" w:themeColor="text1"/>
          <w:sz w:val="20"/>
          <w:szCs w:val="20"/>
          <w:lang w:val="en-GB"/>
        </w:rPr>
        <w:t xml:space="preserve"> conferred by the Constitution.</w:t>
      </w:r>
      <w:r w:rsidRPr="001209DF">
        <w:rPr>
          <w:rStyle w:val="FootnoteReference"/>
          <w:rFonts w:ascii="Arial" w:hAnsi="Arial" w:cs="Arial"/>
          <w:color w:val="000000" w:themeColor="text1"/>
          <w:sz w:val="20"/>
          <w:szCs w:val="20"/>
          <w:lang w:val="en-GB"/>
        </w:rPr>
        <w:footnoteReference w:id="3"/>
      </w:r>
      <w:r w:rsidRPr="001209DF">
        <w:rPr>
          <w:rFonts w:ascii="Arial" w:hAnsi="Arial" w:cs="Arial"/>
          <w:color w:val="000000" w:themeColor="text1"/>
          <w:sz w:val="20"/>
          <w:szCs w:val="20"/>
          <w:lang w:val="en-GB"/>
        </w:rPr>
        <w:t xml:space="preserve"> Article 370 has not been abrogated but successive governments in Delhi have reduced J&amp;K’s structure of autonomy to an empty husk.</w:t>
      </w:r>
      <w:r w:rsidRPr="001209DF">
        <w:rPr>
          <w:rStyle w:val="FootnoteReference"/>
          <w:rFonts w:ascii="Arial" w:hAnsi="Arial" w:cs="Arial"/>
          <w:color w:val="000000" w:themeColor="text1"/>
          <w:sz w:val="20"/>
          <w:szCs w:val="20"/>
          <w:lang w:val="en-GB"/>
        </w:rPr>
        <w:footnoteReference w:id="4"/>
      </w:r>
      <w:r w:rsidRPr="001209DF">
        <w:rPr>
          <w:rFonts w:ascii="Arial" w:hAnsi="Arial" w:cs="Arial"/>
          <w:color w:val="000000" w:themeColor="text1"/>
          <w:sz w:val="20"/>
          <w:szCs w:val="20"/>
          <w:lang w:val="en-GB"/>
        </w:rPr>
        <w:t xml:space="preserve"> In the Northeast, scarred by multiple identity based mobilisations, India’s strategy of conflict resolution </w:t>
      </w:r>
      <w:r w:rsidRPr="001209DF">
        <w:rPr>
          <w:rFonts w:ascii="Arial" w:hAnsi="Arial" w:cs="Arial"/>
          <w:color w:val="000000" w:themeColor="text1"/>
          <w:sz w:val="20"/>
          <w:szCs w:val="20"/>
          <w:lang w:val="en-GB"/>
        </w:rPr>
        <w:sym w:font="Symbol" w:char="F02D"/>
      </w:r>
      <w:r w:rsidRPr="001209DF">
        <w:rPr>
          <w:rFonts w:ascii="Arial" w:hAnsi="Arial" w:cs="Arial"/>
          <w:color w:val="000000" w:themeColor="text1"/>
          <w:sz w:val="20"/>
          <w:szCs w:val="20"/>
          <w:lang w:val="en-GB"/>
        </w:rPr>
        <w:t>military suppression followed by peace accords that co-opt ‘willing’ moderates in power-sharing arrangements and make outliers extremists</w:t>
      </w:r>
      <w:r w:rsidRPr="001209DF">
        <w:rPr>
          <w:rFonts w:ascii="Arial" w:hAnsi="Arial" w:cs="Arial"/>
          <w:color w:val="000000" w:themeColor="text1"/>
          <w:sz w:val="20"/>
          <w:szCs w:val="20"/>
          <w:lang w:val="en-GB"/>
        </w:rPr>
        <w:sym w:font="Symbol" w:char="F02D"/>
      </w:r>
      <w:r w:rsidRPr="001209DF">
        <w:rPr>
          <w:rFonts w:ascii="Arial" w:hAnsi="Arial" w:cs="Arial"/>
          <w:color w:val="000000" w:themeColor="text1"/>
          <w:sz w:val="20"/>
          <w:szCs w:val="20"/>
          <w:lang w:val="en-GB"/>
        </w:rPr>
        <w:t xml:space="preserve"> has resulted in endemic cycles of violence. Moreover, the creation of ethnic homelands in</w:t>
      </w:r>
    </w:p>
    <w:p w:rsidR="00CB5AAB" w:rsidRDefault="00CB5AAB" w:rsidP="00001F6A">
      <w:pPr>
        <w:spacing w:after="0" w:line="240" w:lineRule="auto"/>
        <w:jc w:val="both"/>
        <w:rPr>
          <w:rFonts w:ascii="Arial" w:hAnsi="Arial" w:cs="Arial"/>
          <w:color w:val="000000" w:themeColor="text1"/>
          <w:sz w:val="20"/>
          <w:szCs w:val="20"/>
          <w:lang w:val="en-GB"/>
        </w:rPr>
      </w:pPr>
      <w:proofErr w:type="gramStart"/>
      <w:r w:rsidRPr="001209DF">
        <w:rPr>
          <w:rFonts w:ascii="Arial" w:hAnsi="Arial" w:cs="Arial"/>
          <w:color w:val="000000" w:themeColor="text1"/>
          <w:sz w:val="20"/>
          <w:szCs w:val="20"/>
          <w:lang w:val="en-GB"/>
        </w:rPr>
        <w:t>what</w:t>
      </w:r>
      <w:proofErr w:type="gramEnd"/>
      <w:r w:rsidRPr="001209DF">
        <w:rPr>
          <w:rFonts w:ascii="Arial" w:hAnsi="Arial" w:cs="Arial"/>
          <w:color w:val="000000" w:themeColor="text1"/>
          <w:sz w:val="20"/>
          <w:szCs w:val="20"/>
          <w:lang w:val="en-GB"/>
        </w:rPr>
        <w:t xml:space="preserve"> </w:t>
      </w:r>
      <w:r w:rsidR="005872F3">
        <w:rPr>
          <w:rFonts w:ascii="Arial" w:hAnsi="Arial" w:cs="Arial"/>
          <w:color w:val="000000" w:themeColor="text1"/>
          <w:sz w:val="20"/>
          <w:szCs w:val="20"/>
          <w:lang w:val="en-GB"/>
        </w:rPr>
        <w:t xml:space="preserve">were once mono-ethnic spaces and have </w:t>
      </w:r>
      <w:r w:rsidRPr="001209DF">
        <w:rPr>
          <w:rFonts w:ascii="Arial" w:hAnsi="Arial" w:cs="Arial"/>
          <w:color w:val="000000" w:themeColor="text1"/>
          <w:sz w:val="20"/>
          <w:szCs w:val="20"/>
          <w:lang w:val="en-GB"/>
        </w:rPr>
        <w:t>bec</w:t>
      </w:r>
      <w:r w:rsidR="005872F3">
        <w:rPr>
          <w:rFonts w:ascii="Arial" w:hAnsi="Arial" w:cs="Arial"/>
          <w:color w:val="000000" w:themeColor="text1"/>
          <w:sz w:val="20"/>
          <w:szCs w:val="20"/>
          <w:lang w:val="en-GB"/>
        </w:rPr>
        <w:t xml:space="preserve">ome </w:t>
      </w:r>
      <w:r w:rsidRPr="001209DF">
        <w:rPr>
          <w:rFonts w:ascii="Arial" w:hAnsi="Arial" w:cs="Arial"/>
          <w:color w:val="000000" w:themeColor="text1"/>
          <w:sz w:val="20"/>
          <w:szCs w:val="20"/>
          <w:lang w:val="en-GB"/>
        </w:rPr>
        <w:t>over time multi-ethnic spaces (accelerated by re-settlement strategies) inevitably ignites prairie fires of competing homelands. According to the assessment of a recent human rights audit of peacemaking in the Northeast, India’s ruling elites “acquiesce to creating non-viable ethnic states and contested homelands, pumping in ‘wild money’ for greasing patronage networks.”</w:t>
      </w:r>
      <w:r w:rsidRPr="001209DF">
        <w:rPr>
          <w:rStyle w:val="FootnoteReference"/>
          <w:rFonts w:ascii="Arial" w:hAnsi="Arial" w:cs="Arial"/>
          <w:color w:val="000000" w:themeColor="text1"/>
          <w:sz w:val="20"/>
          <w:szCs w:val="20"/>
          <w:lang w:val="en-GB"/>
        </w:rPr>
        <w:footnoteReference w:id="5"/>
      </w:r>
      <w:r w:rsidRPr="001209DF">
        <w:rPr>
          <w:rFonts w:ascii="Arial" w:hAnsi="Arial" w:cs="Arial"/>
          <w:color w:val="000000" w:themeColor="text1"/>
          <w:sz w:val="20"/>
          <w:szCs w:val="20"/>
          <w:lang w:val="en-GB"/>
        </w:rPr>
        <w:t xml:space="preserve"> Left intact in the midst of this violent ‘peace’ is entrenched militarization, including the Armed Forces Special Powers Act (AFSPA), the source of the abuse of power and the socio-legal culture of impunity.</w:t>
      </w:r>
      <w:r w:rsidRPr="001209DF">
        <w:rPr>
          <w:rStyle w:val="FootnoteReference"/>
          <w:rFonts w:ascii="Arial" w:hAnsi="Arial" w:cs="Arial"/>
          <w:color w:val="000000" w:themeColor="text1"/>
          <w:sz w:val="20"/>
          <w:szCs w:val="20"/>
          <w:lang w:val="en-GB"/>
        </w:rPr>
        <w:footnoteReference w:id="6"/>
      </w:r>
      <w:r w:rsidRPr="001209DF">
        <w:rPr>
          <w:rFonts w:ascii="Arial" w:hAnsi="Arial" w:cs="Arial"/>
          <w:color w:val="000000" w:themeColor="text1"/>
          <w:sz w:val="20"/>
          <w:szCs w:val="20"/>
          <w:lang w:val="en-GB"/>
        </w:rPr>
        <w:t xml:space="preserve"> The imposition of emergency laws such as AFSPA first to tackle Naga insurgents and then applied throughout the Northeast (and in J &amp;K) has turned the region into a ‘zone of exception’ in effect suspending the fundamental right to life. </w:t>
      </w:r>
    </w:p>
    <w:p w:rsidR="00AF0071" w:rsidRPr="001209DF" w:rsidRDefault="00AF0071" w:rsidP="00001F6A">
      <w:pPr>
        <w:spacing w:after="0" w:line="240" w:lineRule="auto"/>
        <w:jc w:val="both"/>
        <w:rPr>
          <w:rFonts w:ascii="Arial" w:hAnsi="Arial" w:cs="Arial"/>
          <w:color w:val="000000" w:themeColor="text1"/>
          <w:sz w:val="20"/>
          <w:szCs w:val="20"/>
          <w:lang w:val="en-GB"/>
        </w:rPr>
      </w:pPr>
    </w:p>
    <w:p w:rsidR="00CB5AAB" w:rsidRDefault="00CB5AAB" w:rsidP="00001F6A">
      <w:pPr>
        <w:spacing w:after="0" w:line="240" w:lineRule="auto"/>
        <w:jc w:val="both"/>
        <w:rPr>
          <w:rFonts w:ascii="Arial" w:hAnsi="Arial" w:cs="Arial"/>
          <w:iCs/>
          <w:color w:val="000000" w:themeColor="text1"/>
          <w:sz w:val="20"/>
          <w:szCs w:val="20"/>
          <w:lang w:val="en-GB"/>
        </w:rPr>
      </w:pPr>
      <w:r w:rsidRPr="001209DF">
        <w:rPr>
          <w:rFonts w:ascii="Arial" w:hAnsi="Arial" w:cs="Arial"/>
          <w:color w:val="000000" w:themeColor="text1"/>
          <w:sz w:val="20"/>
          <w:szCs w:val="20"/>
          <w:lang w:val="en-GB"/>
        </w:rPr>
        <w:t>Th</w:t>
      </w:r>
      <w:r w:rsidR="001F4971" w:rsidRPr="001209DF">
        <w:rPr>
          <w:rFonts w:ascii="Arial" w:hAnsi="Arial" w:cs="Arial"/>
          <w:color w:val="000000" w:themeColor="text1"/>
          <w:sz w:val="20"/>
          <w:szCs w:val="20"/>
          <w:lang w:val="en-GB"/>
        </w:rPr>
        <w:t>is</w:t>
      </w:r>
      <w:r w:rsidRPr="001209DF">
        <w:rPr>
          <w:rFonts w:ascii="Arial" w:hAnsi="Arial" w:cs="Arial"/>
          <w:color w:val="000000" w:themeColor="text1"/>
          <w:sz w:val="20"/>
          <w:szCs w:val="20"/>
          <w:lang w:val="en-GB"/>
        </w:rPr>
        <w:t xml:space="preserve"> paper focuses particular attention on </w:t>
      </w:r>
      <w:r w:rsidRPr="001209DF">
        <w:rPr>
          <w:rFonts w:ascii="Arial" w:hAnsi="Arial" w:cs="Arial"/>
          <w:b/>
          <w:color w:val="000000" w:themeColor="text1"/>
          <w:sz w:val="20"/>
          <w:szCs w:val="20"/>
          <w:lang w:val="en-GB"/>
        </w:rPr>
        <w:t>Nagaland</w:t>
      </w:r>
      <w:r w:rsidRPr="001209DF">
        <w:rPr>
          <w:rFonts w:ascii="Arial" w:hAnsi="Arial" w:cs="Arial"/>
          <w:color w:val="000000" w:themeColor="text1"/>
          <w:sz w:val="20"/>
          <w:szCs w:val="20"/>
          <w:lang w:val="en-GB"/>
        </w:rPr>
        <w:t xml:space="preserve"> in the Northeast. Peace studies scholars are drawn to the Naga national movement as it is the oldest self-determination struggle in independent India and paradigmatically represents the effective limits of both the Indian state’s militarist counter</w:t>
      </w:r>
      <w:r w:rsidR="001F497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insurgency strategy, and its peacemaking strategy.</w:t>
      </w:r>
      <w:r w:rsidRPr="001209DF">
        <w:rPr>
          <w:rStyle w:val="FootnoteReference"/>
          <w:rFonts w:ascii="Arial" w:hAnsi="Arial" w:cs="Arial"/>
          <w:color w:val="000000" w:themeColor="text1"/>
          <w:sz w:val="20"/>
          <w:szCs w:val="20"/>
          <w:lang w:val="en-GB"/>
        </w:rPr>
        <w:footnoteReference w:id="7"/>
      </w:r>
      <w:r w:rsidRPr="001209DF">
        <w:rPr>
          <w:rFonts w:ascii="Arial" w:hAnsi="Arial" w:cs="Arial"/>
          <w:color w:val="000000" w:themeColor="text1"/>
          <w:sz w:val="20"/>
          <w:szCs w:val="20"/>
          <w:lang w:val="en-GB"/>
        </w:rPr>
        <w:t xml:space="preserve"> The 1960 Naga peace accord laid the template for the grand strategy of power sharing and devolution of power to territorially focused, ethnically or linguistically delimited autonomies. </w:t>
      </w:r>
      <w:r w:rsidRPr="001209DF">
        <w:rPr>
          <w:rFonts w:ascii="Arial" w:hAnsi="Arial" w:cs="Arial"/>
          <w:iCs/>
          <w:color w:val="000000" w:themeColor="text1"/>
          <w:sz w:val="20"/>
          <w:szCs w:val="20"/>
          <w:lang w:val="en-GB"/>
        </w:rPr>
        <w:t>The Naga conflict and peace process has additional significance in that it is the hub of the regional conflict system of Northeast India with outreach across international borders to Burma, Bangladesh and China. The possibility of a ‘durable peace’ would have a major impact on insurgencies in the Northeast.</w:t>
      </w:r>
      <w:r w:rsidRPr="001209DF">
        <w:rPr>
          <w:rStyle w:val="FootnoteReference"/>
          <w:rFonts w:ascii="Arial" w:hAnsi="Arial" w:cs="Arial"/>
          <w:iCs/>
          <w:color w:val="000000" w:themeColor="text1"/>
          <w:sz w:val="20"/>
          <w:szCs w:val="20"/>
          <w:lang w:val="en-GB"/>
        </w:rPr>
        <w:footnoteReference w:id="8"/>
      </w:r>
    </w:p>
    <w:p w:rsidR="00AF0071" w:rsidRPr="001209DF" w:rsidRDefault="00AF0071" w:rsidP="00001F6A">
      <w:pPr>
        <w:spacing w:after="0" w:line="240" w:lineRule="auto"/>
        <w:jc w:val="both"/>
        <w:rPr>
          <w:rFonts w:ascii="Arial" w:hAnsi="Arial" w:cs="Arial"/>
          <w:iCs/>
          <w:color w:val="000000" w:themeColor="text1"/>
          <w:sz w:val="20"/>
          <w:szCs w:val="20"/>
          <w:lang w:val="en-GB"/>
        </w:rPr>
      </w:pPr>
    </w:p>
    <w:p w:rsidR="00AF0071" w:rsidRPr="00AF0071" w:rsidRDefault="00CB5AAB" w:rsidP="00001F6A">
      <w:pPr>
        <w:spacing w:after="0" w:line="240" w:lineRule="auto"/>
        <w:jc w:val="both"/>
        <w:rPr>
          <w:rFonts w:ascii="Arial" w:hAnsi="Arial" w:cs="Arial"/>
          <w:color w:val="FF0000"/>
          <w:sz w:val="20"/>
          <w:szCs w:val="20"/>
          <w:lang w:val="en-GB"/>
        </w:rPr>
      </w:pPr>
      <w:r w:rsidRPr="001209DF">
        <w:rPr>
          <w:rFonts w:ascii="Arial" w:hAnsi="Arial" w:cs="Arial"/>
          <w:iCs/>
          <w:color w:val="000000" w:themeColor="text1"/>
          <w:sz w:val="20"/>
          <w:szCs w:val="20"/>
          <w:lang w:val="en-GB"/>
        </w:rPr>
        <w:t>Most importantly for our analysis, the Northeast and in particular, the Naga conflict</w:t>
      </w:r>
      <w:r w:rsidR="001F4971" w:rsidRPr="001209DF">
        <w:rPr>
          <w:rFonts w:ascii="Arial" w:hAnsi="Arial" w:cs="Arial"/>
          <w:iCs/>
          <w:color w:val="000000" w:themeColor="text1"/>
          <w:sz w:val="20"/>
          <w:szCs w:val="20"/>
          <w:lang w:val="en-GB"/>
        </w:rPr>
        <w:t>/</w:t>
      </w:r>
      <w:r w:rsidRPr="001209DF">
        <w:rPr>
          <w:rFonts w:ascii="Arial" w:hAnsi="Arial" w:cs="Arial"/>
          <w:iCs/>
          <w:color w:val="000000" w:themeColor="text1"/>
          <w:sz w:val="20"/>
          <w:szCs w:val="20"/>
          <w:lang w:val="en-GB"/>
        </w:rPr>
        <w:t xml:space="preserve">peace process </w:t>
      </w:r>
      <w:r w:rsidR="001F4971" w:rsidRPr="001209DF">
        <w:rPr>
          <w:rFonts w:ascii="Arial" w:hAnsi="Arial" w:cs="Arial"/>
          <w:iCs/>
          <w:color w:val="000000" w:themeColor="text1"/>
          <w:sz w:val="20"/>
          <w:szCs w:val="20"/>
          <w:lang w:val="en-GB"/>
        </w:rPr>
        <w:t>is</w:t>
      </w:r>
      <w:r w:rsidRPr="001209DF">
        <w:rPr>
          <w:rFonts w:ascii="Arial" w:hAnsi="Arial" w:cs="Arial"/>
          <w:iCs/>
          <w:color w:val="000000" w:themeColor="text1"/>
          <w:sz w:val="20"/>
          <w:szCs w:val="20"/>
          <w:lang w:val="en-GB"/>
        </w:rPr>
        <w:t xml:space="preserve"> striking for its rich culture of collective activism and the role of both traditionally rooted social organisations and modern human rights </w:t>
      </w:r>
      <w:r w:rsidR="001F4971" w:rsidRPr="001209DF">
        <w:rPr>
          <w:rFonts w:ascii="Arial" w:hAnsi="Arial" w:cs="Arial"/>
          <w:iCs/>
          <w:color w:val="000000" w:themeColor="text1"/>
          <w:sz w:val="20"/>
          <w:szCs w:val="20"/>
          <w:lang w:val="en-GB"/>
        </w:rPr>
        <w:t>non-governmental organisations (</w:t>
      </w:r>
      <w:r w:rsidRPr="001209DF">
        <w:rPr>
          <w:rFonts w:ascii="Arial" w:hAnsi="Arial" w:cs="Arial"/>
          <w:iCs/>
          <w:color w:val="000000" w:themeColor="text1"/>
          <w:sz w:val="20"/>
          <w:szCs w:val="20"/>
          <w:lang w:val="en-GB"/>
        </w:rPr>
        <w:t>NGOs</w:t>
      </w:r>
      <w:r w:rsidR="001F4971" w:rsidRPr="001209DF">
        <w:rPr>
          <w:rFonts w:ascii="Arial" w:hAnsi="Arial" w:cs="Arial"/>
          <w:iCs/>
          <w:color w:val="000000" w:themeColor="text1"/>
          <w:sz w:val="20"/>
          <w:szCs w:val="20"/>
          <w:lang w:val="en-GB"/>
        </w:rPr>
        <w:t>)</w:t>
      </w:r>
      <w:r w:rsidRPr="001209DF">
        <w:rPr>
          <w:rFonts w:ascii="Arial" w:hAnsi="Arial" w:cs="Arial"/>
          <w:iCs/>
          <w:color w:val="000000" w:themeColor="text1"/>
          <w:sz w:val="20"/>
          <w:szCs w:val="20"/>
          <w:lang w:val="en-GB"/>
        </w:rPr>
        <w:t xml:space="preserve"> in peacebuilding processes. The paper explores the </w:t>
      </w:r>
      <w:r w:rsidRPr="001209DF">
        <w:rPr>
          <w:rFonts w:ascii="Arial" w:hAnsi="Arial" w:cs="Arial"/>
          <w:color w:val="000000" w:themeColor="text1"/>
          <w:sz w:val="20"/>
          <w:szCs w:val="20"/>
          <w:lang w:val="en-GB"/>
        </w:rPr>
        <w:t xml:space="preserve">opportunities, tensions, contradictions and limitations in the role of civil society/NGO organisations in enabling democratization, expanding human freedoms, and delivering entitlements in the context of ‘special category state’ Nagaland, and the ongoing peace process. Have constitutional guarantees and institutions for protecting democratic rights in these special autonomous states/areas been able to withstand the assault of </w:t>
      </w:r>
      <w:r w:rsidR="005872F3">
        <w:rPr>
          <w:rFonts w:ascii="Arial" w:hAnsi="Arial" w:cs="Arial"/>
          <w:color w:val="000000" w:themeColor="text1"/>
          <w:sz w:val="20"/>
          <w:szCs w:val="20"/>
          <w:lang w:val="en-GB"/>
        </w:rPr>
        <w:t xml:space="preserve">legislative </w:t>
      </w:r>
      <w:r w:rsidRPr="001209DF">
        <w:rPr>
          <w:rFonts w:ascii="Arial" w:hAnsi="Arial" w:cs="Arial"/>
          <w:color w:val="000000" w:themeColor="text1"/>
          <w:sz w:val="20"/>
          <w:szCs w:val="20"/>
          <w:lang w:val="en-GB"/>
        </w:rPr>
        <w:t>and executive power? What are the structures for enabling or restricting the role of civil society/NGOs in promoting and protecting human rights – civil and political, social and economic? Are fundamental rights guaranteed and what restrictions are imposed by national security</w:t>
      </w:r>
      <w:r w:rsidR="005872F3">
        <w:rPr>
          <w:rFonts w:ascii="Arial" w:hAnsi="Arial" w:cs="Arial"/>
          <w:color w:val="000000" w:themeColor="text1"/>
          <w:sz w:val="20"/>
          <w:szCs w:val="20"/>
          <w:lang w:val="en-GB"/>
        </w:rPr>
        <w:t xml:space="preserve">, anti- sedition and </w:t>
      </w:r>
      <w:r w:rsidRPr="001209DF">
        <w:rPr>
          <w:rFonts w:ascii="Arial" w:hAnsi="Arial" w:cs="Arial"/>
          <w:color w:val="000000" w:themeColor="text1"/>
          <w:sz w:val="20"/>
          <w:szCs w:val="20"/>
          <w:lang w:val="en-GB"/>
        </w:rPr>
        <w:t xml:space="preserve">anti-secession laws? Are NGO/civil society groups enabled to participate in decision making structures for rebuilding society and polity? Are civil society organisations able to hold the state accountable on its commitments national and international? </w:t>
      </w:r>
      <w:r w:rsidR="00061982" w:rsidRPr="00061982">
        <w:rPr>
          <w:rFonts w:ascii="Arial" w:hAnsi="Arial" w:cs="Arial"/>
          <w:color w:val="FF0000"/>
          <w:sz w:val="20"/>
          <w:szCs w:val="20"/>
          <w:lang w:val="en-GB"/>
        </w:rPr>
        <w:t xml:space="preserve">These questions have relevance for </w:t>
      </w:r>
      <w:r w:rsidR="00AF0071" w:rsidRPr="00061982">
        <w:rPr>
          <w:rFonts w:ascii="Arial" w:hAnsi="Arial" w:cs="Arial"/>
          <w:color w:val="FF0000"/>
          <w:sz w:val="20"/>
          <w:szCs w:val="20"/>
          <w:lang w:val="en-GB"/>
        </w:rPr>
        <w:t>th</w:t>
      </w:r>
      <w:r w:rsidR="00AF0071" w:rsidRPr="00AC41F3">
        <w:rPr>
          <w:rFonts w:ascii="Arial" w:hAnsi="Arial" w:cs="Arial"/>
          <w:color w:val="FF0000"/>
          <w:sz w:val="20"/>
          <w:szCs w:val="20"/>
          <w:lang w:val="en-GB"/>
        </w:rPr>
        <w:t xml:space="preserve">e Moroccan proposed negotiated status </w:t>
      </w:r>
      <w:r w:rsidR="00061982">
        <w:rPr>
          <w:rFonts w:ascii="Arial" w:hAnsi="Arial" w:cs="Arial"/>
          <w:color w:val="FF0000"/>
          <w:sz w:val="20"/>
          <w:szCs w:val="20"/>
          <w:lang w:val="en-GB"/>
        </w:rPr>
        <w:t xml:space="preserve">for </w:t>
      </w:r>
      <w:r w:rsidR="00AF0071" w:rsidRPr="00AC41F3">
        <w:rPr>
          <w:rFonts w:ascii="Arial" w:hAnsi="Arial" w:cs="Arial"/>
          <w:color w:val="FF0000"/>
          <w:sz w:val="20"/>
          <w:szCs w:val="20"/>
          <w:lang w:val="en-GB"/>
        </w:rPr>
        <w:t>autonomy of the Sahara Region.</w:t>
      </w:r>
      <w:r w:rsidR="00AF0071">
        <w:rPr>
          <w:rStyle w:val="FootnoteReference"/>
          <w:rFonts w:ascii="Arial" w:hAnsi="Arial" w:cs="Arial"/>
          <w:color w:val="FF0000"/>
          <w:sz w:val="20"/>
          <w:szCs w:val="20"/>
          <w:lang w:val="en-GB"/>
        </w:rPr>
        <w:footnoteReference w:id="9"/>
      </w:r>
      <w:r w:rsidR="00061982">
        <w:rPr>
          <w:rFonts w:ascii="Arial" w:hAnsi="Arial" w:cs="Arial"/>
          <w:color w:val="FF0000"/>
          <w:sz w:val="20"/>
          <w:szCs w:val="20"/>
          <w:lang w:val="en-GB"/>
        </w:rPr>
        <w:t xml:space="preserve"> It is expected that the analysis will provide </w:t>
      </w:r>
      <w:r w:rsidR="00061982" w:rsidRPr="00AC41F3">
        <w:rPr>
          <w:rFonts w:ascii="Arial" w:hAnsi="Arial" w:cs="Arial"/>
          <w:color w:val="FF0000"/>
          <w:sz w:val="20"/>
          <w:szCs w:val="20"/>
          <w:lang w:val="en-GB"/>
        </w:rPr>
        <w:t xml:space="preserve">comparative </w:t>
      </w:r>
      <w:r w:rsidR="00061982">
        <w:rPr>
          <w:rFonts w:ascii="Arial" w:hAnsi="Arial" w:cs="Arial"/>
          <w:color w:val="FF0000"/>
          <w:sz w:val="20"/>
          <w:szCs w:val="20"/>
          <w:lang w:val="en-GB"/>
        </w:rPr>
        <w:t xml:space="preserve">insights as </w:t>
      </w:r>
      <w:r w:rsidR="00061982" w:rsidRPr="00AC41F3">
        <w:rPr>
          <w:rFonts w:ascii="Arial" w:hAnsi="Arial" w:cs="Arial"/>
          <w:color w:val="FF0000"/>
          <w:sz w:val="20"/>
          <w:szCs w:val="20"/>
          <w:lang w:val="en-GB"/>
        </w:rPr>
        <w:t>regard</w:t>
      </w:r>
      <w:r w:rsidR="00061982">
        <w:rPr>
          <w:rFonts w:ascii="Arial" w:hAnsi="Arial" w:cs="Arial"/>
          <w:color w:val="FF0000"/>
          <w:sz w:val="20"/>
          <w:szCs w:val="20"/>
          <w:lang w:val="en-GB"/>
        </w:rPr>
        <w:t xml:space="preserve">s the Moroccan autonomy </w:t>
      </w:r>
      <w:r w:rsidR="001E6B9E">
        <w:rPr>
          <w:rFonts w:ascii="Arial" w:hAnsi="Arial" w:cs="Arial"/>
          <w:color w:val="FF0000"/>
          <w:sz w:val="20"/>
          <w:szCs w:val="20"/>
          <w:lang w:val="en-GB"/>
        </w:rPr>
        <w:t xml:space="preserve">initiative. </w:t>
      </w:r>
      <w:r w:rsidR="00061982">
        <w:rPr>
          <w:rFonts w:ascii="Arial" w:hAnsi="Arial" w:cs="Arial"/>
          <w:color w:val="FF0000"/>
          <w:sz w:val="20"/>
          <w:szCs w:val="20"/>
          <w:lang w:val="en-GB"/>
        </w:rPr>
        <w:t xml:space="preserve"> </w:t>
      </w:r>
    </w:p>
    <w:p w:rsidR="00AF0071" w:rsidRDefault="00AF0071">
      <w:pPr>
        <w:rPr>
          <w:rFonts w:ascii="Arial" w:hAnsi="Arial" w:cs="Arial"/>
          <w:color w:val="000000" w:themeColor="text1"/>
          <w:sz w:val="20"/>
          <w:szCs w:val="20"/>
          <w:lang w:val="en-GB"/>
        </w:rPr>
      </w:pPr>
      <w:r>
        <w:rPr>
          <w:rFonts w:ascii="Arial" w:hAnsi="Arial" w:cs="Arial"/>
          <w:color w:val="000000" w:themeColor="text1"/>
          <w:sz w:val="20"/>
          <w:szCs w:val="20"/>
          <w:lang w:val="en-GB"/>
        </w:rPr>
        <w:br w:type="page"/>
      </w:r>
    </w:p>
    <w:p w:rsidR="001F4971" w:rsidRPr="001209DF" w:rsidRDefault="001F4971" w:rsidP="00001F6A">
      <w:pPr>
        <w:spacing w:after="0" w:line="240" w:lineRule="auto"/>
        <w:jc w:val="both"/>
        <w:rPr>
          <w:rFonts w:ascii="Arial" w:hAnsi="Arial" w:cs="Arial"/>
          <w:color w:val="000000" w:themeColor="text1"/>
          <w:sz w:val="20"/>
          <w:szCs w:val="20"/>
          <w:lang w:val="en-GB"/>
        </w:rPr>
      </w:pPr>
    </w:p>
    <w:p w:rsidR="00CB5AAB" w:rsidRPr="001209DF" w:rsidRDefault="001F4971" w:rsidP="00001F6A">
      <w:pPr>
        <w:pStyle w:val="ListParagraph"/>
        <w:numPr>
          <w:ilvl w:val="0"/>
          <w:numId w:val="4"/>
        </w:numPr>
        <w:spacing w:after="0" w:line="240" w:lineRule="auto"/>
        <w:contextualSpacing w:val="0"/>
        <w:jc w:val="both"/>
        <w:rPr>
          <w:rFonts w:ascii="Arial" w:hAnsi="Arial" w:cs="Arial"/>
          <w:b/>
          <w:color w:val="000000" w:themeColor="text1"/>
          <w:sz w:val="20"/>
          <w:szCs w:val="20"/>
          <w:lang w:val="en-GB"/>
        </w:rPr>
      </w:pPr>
      <w:r w:rsidRPr="001209DF">
        <w:rPr>
          <w:rFonts w:ascii="Arial" w:hAnsi="Arial" w:cs="Arial"/>
          <w:b/>
          <w:color w:val="000000" w:themeColor="text1"/>
          <w:sz w:val="20"/>
          <w:szCs w:val="20"/>
          <w:lang w:val="en-GB"/>
        </w:rPr>
        <w:t xml:space="preserve">The </w:t>
      </w:r>
      <w:r w:rsidR="00CB5AAB" w:rsidRPr="001209DF">
        <w:rPr>
          <w:rFonts w:ascii="Arial" w:hAnsi="Arial" w:cs="Arial"/>
          <w:b/>
          <w:color w:val="000000" w:themeColor="text1"/>
          <w:sz w:val="20"/>
          <w:szCs w:val="20"/>
          <w:lang w:val="en-GB"/>
        </w:rPr>
        <w:t>Role of NGOs/Civil Society in Peacebuilding</w:t>
      </w:r>
    </w:p>
    <w:p w:rsidR="00CB5AAB" w:rsidRPr="001209DF" w:rsidRDefault="00CB5AAB" w:rsidP="00001F6A">
      <w:pPr>
        <w:spacing w:after="0" w:line="240" w:lineRule="auto"/>
        <w:jc w:val="both"/>
        <w:rPr>
          <w:rFonts w:ascii="Arial" w:hAnsi="Arial" w:cs="Arial"/>
          <w:b/>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Civil society is a highly contentious concept with its intellectual antecedents ranging from the Marxist to liberal traditions. In the 1980s the concept saw a mercurial revival as the terrain of democratization of the totalitarian societies of Eastern Europe. In the global south, it was recast as the voluntary sector (NGOs), between state and market. Consequently, at one end the civil society sphere is a de-politicized, apolitical NGO sector taking over the state’s role in the delivery of welfare, at the other end civil society is configured as the arena of political</w:t>
      </w:r>
      <w:r w:rsidRPr="001209DF">
        <w:rPr>
          <w:rStyle w:val="FootnoteReference"/>
          <w:rFonts w:ascii="Arial" w:hAnsi="Arial" w:cs="Arial"/>
          <w:color w:val="000000" w:themeColor="text1"/>
          <w:sz w:val="20"/>
          <w:szCs w:val="20"/>
          <w:lang w:val="en-GB"/>
        </w:rPr>
        <w:footnoteReference w:id="10"/>
      </w:r>
      <w:r w:rsidRPr="001209DF">
        <w:rPr>
          <w:rFonts w:ascii="Arial" w:hAnsi="Arial" w:cs="Arial"/>
          <w:color w:val="000000" w:themeColor="text1"/>
          <w:sz w:val="20"/>
          <w:szCs w:val="20"/>
          <w:lang w:val="en-GB"/>
        </w:rPr>
        <w:t xml:space="preserve"> and social interaction and as the sector of political and social actors. It is a ‘contested concept but a fugitive reality’.</w:t>
      </w:r>
      <w:r w:rsidRPr="001209DF">
        <w:rPr>
          <w:rStyle w:val="FootnoteReference"/>
          <w:rFonts w:ascii="Arial" w:hAnsi="Arial" w:cs="Arial"/>
          <w:color w:val="000000" w:themeColor="text1"/>
          <w:sz w:val="20"/>
          <w:szCs w:val="20"/>
          <w:lang w:val="en-GB"/>
        </w:rPr>
        <w:footnoteReference w:id="11"/>
      </w:r>
      <w:r w:rsidRPr="001209DF">
        <w:rPr>
          <w:rFonts w:ascii="Arial" w:hAnsi="Arial" w:cs="Arial"/>
          <w:color w:val="000000" w:themeColor="text1"/>
          <w:sz w:val="20"/>
          <w:szCs w:val="20"/>
          <w:lang w:val="en-GB"/>
        </w:rPr>
        <w:t xml:space="preserve"> Societies emerging from conflict usually have strong civil societies, embedded in the political mobilization around the grievance discourse driving the conflict.</w:t>
      </w:r>
      <w:r w:rsidRPr="001209DF">
        <w:rPr>
          <w:rStyle w:val="FootnoteReference"/>
          <w:rFonts w:ascii="Arial" w:hAnsi="Arial" w:cs="Arial"/>
          <w:color w:val="000000" w:themeColor="text1"/>
          <w:sz w:val="20"/>
          <w:szCs w:val="20"/>
          <w:lang w:val="en-GB"/>
        </w:rPr>
        <w:footnoteReference w:id="12"/>
      </w:r>
      <w:r w:rsidR="001F4971" w:rsidRPr="001209DF">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 xml:space="preserve">Instances of civil society organizations (CSOs) morphing themselves into a political party or an armed political group (Naga Club – Naga National Council) have led many scholars and policy makers to perceive CSOs as </w:t>
      </w:r>
      <w:r w:rsidRPr="001209DF">
        <w:rPr>
          <w:rFonts w:ascii="Arial" w:hAnsi="Arial" w:cs="Arial"/>
          <w:i/>
          <w:color w:val="000000" w:themeColor="text1"/>
          <w:sz w:val="20"/>
          <w:szCs w:val="20"/>
          <w:lang w:val="en-GB"/>
        </w:rPr>
        <w:t>proxies,</w:t>
      </w:r>
      <w:r w:rsidRPr="001209DF">
        <w:rPr>
          <w:rFonts w:ascii="Arial" w:hAnsi="Arial" w:cs="Arial"/>
          <w:color w:val="000000" w:themeColor="text1"/>
          <w:sz w:val="20"/>
          <w:szCs w:val="20"/>
          <w:lang w:val="en-GB"/>
        </w:rPr>
        <w:t xml:space="preserve"> especially during a militarized conflict where they run the risk of being appropriated by state</w:t>
      </w:r>
      <w:r w:rsidR="001F497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and non</w:t>
      </w:r>
      <w:r w:rsidR="001F497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state agents.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In a conflict polarized society, it is likely that civil society actors will be partisan. Nonetheless, it is these ethnic/religious bodies and especially the Mother</w:t>
      </w:r>
      <w:r w:rsidR="001F4971" w:rsidRPr="001209DF">
        <w:rPr>
          <w:rFonts w:ascii="Arial" w:hAnsi="Arial" w:cs="Arial"/>
          <w:color w:val="000000" w:themeColor="text1"/>
          <w:sz w:val="20"/>
          <w:szCs w:val="20"/>
          <w:lang w:val="en-GB"/>
        </w:rPr>
        <w:t>s</w:t>
      </w:r>
      <w:r w:rsidRPr="001209DF">
        <w:rPr>
          <w:rFonts w:ascii="Arial" w:hAnsi="Arial" w:cs="Arial"/>
          <w:color w:val="000000" w:themeColor="text1"/>
          <w:sz w:val="20"/>
          <w:szCs w:val="20"/>
          <w:lang w:val="en-GB"/>
        </w:rPr>
        <w:t>’ Fronts that form the front line of the human rights and justice discourse during the conflict.</w:t>
      </w:r>
      <w:r w:rsidRPr="001209DF">
        <w:rPr>
          <w:rStyle w:val="FootnoteReference"/>
          <w:rFonts w:ascii="Arial" w:hAnsi="Arial" w:cs="Arial"/>
          <w:color w:val="000000" w:themeColor="text1"/>
          <w:sz w:val="20"/>
          <w:szCs w:val="20"/>
          <w:lang w:val="en-GB"/>
        </w:rPr>
        <w:footnoteReference w:id="13"/>
      </w:r>
      <w:r w:rsidR="001F4971" w:rsidRPr="001209DF">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 xml:space="preserve">The function that some of these ‘appropriated’ ethnic groupings perform is that usually associated with civil society bodies. The </w:t>
      </w:r>
      <w:proofErr w:type="spellStart"/>
      <w:r w:rsidRPr="001209DF">
        <w:rPr>
          <w:rFonts w:ascii="Arial" w:hAnsi="Arial" w:cs="Arial"/>
          <w:color w:val="000000" w:themeColor="text1"/>
          <w:sz w:val="20"/>
          <w:szCs w:val="20"/>
          <w:lang w:val="en-GB"/>
        </w:rPr>
        <w:t>Meira</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Paibis</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Metei</w:t>
      </w:r>
      <w:proofErr w:type="spellEnd"/>
      <w:r w:rsidRPr="001209DF">
        <w:rPr>
          <w:rFonts w:ascii="Arial" w:hAnsi="Arial" w:cs="Arial"/>
          <w:color w:val="000000" w:themeColor="text1"/>
          <w:sz w:val="20"/>
          <w:szCs w:val="20"/>
          <w:lang w:val="en-GB"/>
        </w:rPr>
        <w:t xml:space="preserve"> Mothers) stripped outside the Assam Rifles headquarters in </w:t>
      </w:r>
      <w:proofErr w:type="spellStart"/>
      <w:r w:rsidRPr="001209DF">
        <w:rPr>
          <w:rFonts w:ascii="Arial" w:hAnsi="Arial" w:cs="Arial"/>
          <w:color w:val="000000" w:themeColor="text1"/>
          <w:sz w:val="20"/>
          <w:szCs w:val="20"/>
          <w:lang w:val="en-GB"/>
        </w:rPr>
        <w:t>Imphal</w:t>
      </w:r>
      <w:proofErr w:type="spellEnd"/>
      <w:r w:rsidRPr="001209DF">
        <w:rPr>
          <w:rFonts w:ascii="Arial" w:hAnsi="Arial" w:cs="Arial"/>
          <w:color w:val="000000" w:themeColor="text1"/>
          <w:sz w:val="20"/>
          <w:szCs w:val="20"/>
          <w:lang w:val="en-GB"/>
        </w:rPr>
        <w:t xml:space="preserve"> in Manipur (2004), outraged at the custodial rape and murder of </w:t>
      </w:r>
      <w:proofErr w:type="spellStart"/>
      <w:r w:rsidRPr="001209DF">
        <w:rPr>
          <w:rFonts w:ascii="Arial" w:hAnsi="Arial" w:cs="Arial"/>
          <w:color w:val="000000" w:themeColor="text1"/>
          <w:sz w:val="20"/>
          <w:szCs w:val="20"/>
          <w:lang w:val="en-GB"/>
        </w:rPr>
        <w:t>Manorma</w:t>
      </w:r>
      <w:proofErr w:type="spellEnd"/>
      <w:r w:rsidRPr="001209DF">
        <w:rPr>
          <w:rFonts w:ascii="Arial" w:hAnsi="Arial" w:cs="Arial"/>
          <w:color w:val="000000" w:themeColor="text1"/>
          <w:sz w:val="20"/>
          <w:szCs w:val="20"/>
          <w:lang w:val="en-GB"/>
        </w:rPr>
        <w:t xml:space="preserve"> Devi, and demanded the removal of AFSPA which provides for a socio-legal culture of impunity.</w:t>
      </w:r>
      <w:r w:rsidRPr="001209DF">
        <w:rPr>
          <w:rStyle w:val="FootnoteReference"/>
          <w:rFonts w:ascii="Arial" w:hAnsi="Arial" w:cs="Arial"/>
          <w:color w:val="000000" w:themeColor="text1"/>
          <w:sz w:val="20"/>
          <w:szCs w:val="20"/>
          <w:lang w:val="en-GB"/>
        </w:rPr>
        <w:footnoteReference w:id="14"/>
      </w:r>
      <w:r w:rsidRPr="001209DF">
        <w:rPr>
          <w:rFonts w:ascii="Arial" w:hAnsi="Arial" w:cs="Arial"/>
          <w:color w:val="000000" w:themeColor="text1"/>
          <w:sz w:val="20"/>
          <w:szCs w:val="20"/>
          <w:lang w:val="en-GB"/>
        </w:rPr>
        <w:t xml:space="preserve"> The </w:t>
      </w:r>
      <w:proofErr w:type="spellStart"/>
      <w:r w:rsidRPr="001209DF">
        <w:rPr>
          <w:rFonts w:ascii="Arial" w:hAnsi="Arial" w:cs="Arial"/>
          <w:color w:val="000000" w:themeColor="text1"/>
          <w:sz w:val="20"/>
          <w:szCs w:val="20"/>
          <w:lang w:val="en-GB"/>
        </w:rPr>
        <w:t>Meira</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Paibis</w:t>
      </w:r>
      <w:proofErr w:type="spellEnd"/>
      <w:r w:rsidRPr="001209DF">
        <w:rPr>
          <w:rFonts w:ascii="Arial" w:hAnsi="Arial" w:cs="Arial"/>
          <w:color w:val="000000" w:themeColor="text1"/>
          <w:sz w:val="20"/>
          <w:szCs w:val="20"/>
          <w:lang w:val="en-GB"/>
        </w:rPr>
        <w:t xml:space="preserve"> have often been labe</w:t>
      </w:r>
      <w:r w:rsidR="001F4971" w:rsidRPr="001209DF">
        <w:rPr>
          <w:rFonts w:ascii="Arial" w:hAnsi="Arial" w:cs="Arial"/>
          <w:color w:val="000000" w:themeColor="text1"/>
          <w:sz w:val="20"/>
          <w:szCs w:val="20"/>
          <w:lang w:val="en-GB"/>
        </w:rPr>
        <w:t>l</w:t>
      </w:r>
      <w:r w:rsidRPr="001209DF">
        <w:rPr>
          <w:rFonts w:ascii="Arial" w:hAnsi="Arial" w:cs="Arial"/>
          <w:color w:val="000000" w:themeColor="text1"/>
          <w:sz w:val="20"/>
          <w:szCs w:val="20"/>
          <w:lang w:val="en-GB"/>
        </w:rPr>
        <w:t xml:space="preserve">led ‘proxies’ of the ethnic Meitei armed groups.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proofErr w:type="spellStart"/>
      <w:r w:rsidRPr="001209DF">
        <w:rPr>
          <w:rFonts w:ascii="Arial" w:hAnsi="Arial" w:cs="Arial"/>
          <w:color w:val="000000" w:themeColor="text1"/>
          <w:sz w:val="20"/>
          <w:szCs w:val="20"/>
          <w:lang w:val="en-GB"/>
        </w:rPr>
        <w:t>Thania</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Paffenholz</w:t>
      </w:r>
      <w:proofErr w:type="spellEnd"/>
      <w:r w:rsidRPr="001209DF">
        <w:rPr>
          <w:rFonts w:ascii="Arial" w:hAnsi="Arial" w:cs="Arial"/>
          <w:color w:val="000000" w:themeColor="text1"/>
          <w:sz w:val="20"/>
          <w:szCs w:val="20"/>
          <w:lang w:val="en-GB"/>
        </w:rPr>
        <w:t xml:space="preserve">, drawing upon the experiences of 13 conflict situations, in </w:t>
      </w:r>
      <w:r w:rsidR="003D0A0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Civil Society and Peacebuilding</w:t>
      </w:r>
      <w:r w:rsidR="003D0A01" w:rsidRPr="001209DF">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lists seven major functions of civil society in the context of peacebuilding</w:t>
      </w:r>
      <w:r w:rsidR="001F4971" w:rsidRPr="001209DF">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protection</w:t>
      </w:r>
      <w:r w:rsidR="001F497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monitoring</w:t>
      </w:r>
      <w:r w:rsidR="001F497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advocacy</w:t>
      </w:r>
      <w:r w:rsidR="001F497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socialization</w:t>
      </w:r>
      <w:r w:rsidR="001F497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inter-group social cohesion</w:t>
      </w:r>
      <w:r w:rsidR="001F497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facilitation</w:t>
      </w:r>
      <w:r w:rsidR="001F497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and service delivery.</w:t>
      </w:r>
      <w:r w:rsidRPr="001209DF">
        <w:rPr>
          <w:rStyle w:val="FootnoteReference"/>
          <w:rFonts w:ascii="Arial" w:hAnsi="Arial" w:cs="Arial"/>
          <w:color w:val="000000" w:themeColor="text1"/>
          <w:sz w:val="20"/>
          <w:szCs w:val="20"/>
          <w:lang w:val="en-GB"/>
        </w:rPr>
        <w:footnoteReference w:id="15"/>
      </w:r>
      <w:r w:rsidRPr="001209DF">
        <w:rPr>
          <w:rFonts w:ascii="Arial" w:hAnsi="Arial" w:cs="Arial"/>
          <w:color w:val="000000" w:themeColor="text1"/>
          <w:sz w:val="20"/>
          <w:szCs w:val="20"/>
          <w:lang w:val="en-GB"/>
        </w:rPr>
        <w:t xml:space="preserve"> However, there is </w:t>
      </w:r>
      <w:r w:rsidR="001F4971" w:rsidRPr="001209DF">
        <w:rPr>
          <w:rFonts w:ascii="Arial" w:hAnsi="Arial" w:cs="Arial"/>
          <w:color w:val="000000" w:themeColor="text1"/>
          <w:sz w:val="20"/>
          <w:szCs w:val="20"/>
          <w:lang w:val="en-GB"/>
        </w:rPr>
        <w:t xml:space="preserve">a </w:t>
      </w:r>
      <w:r w:rsidRPr="001209DF">
        <w:rPr>
          <w:rFonts w:ascii="Arial" w:hAnsi="Arial" w:cs="Arial"/>
          <w:color w:val="000000" w:themeColor="text1"/>
          <w:sz w:val="20"/>
          <w:szCs w:val="20"/>
          <w:lang w:val="en-GB"/>
        </w:rPr>
        <w:t>need to guard against an over-simplistic reading of civil society action as necessarily translating into peacebuilding. Moreover the civil society sphere is a crowded one with fundamentalist, xenophobic CSO</w:t>
      </w:r>
      <w:r w:rsidR="003D0A01" w:rsidRPr="001209DF">
        <w:rPr>
          <w:rFonts w:ascii="Arial" w:hAnsi="Arial" w:cs="Arial"/>
          <w:color w:val="000000" w:themeColor="text1"/>
          <w:sz w:val="20"/>
          <w:szCs w:val="20"/>
          <w:lang w:val="en-GB"/>
        </w:rPr>
        <w:t>s</w:t>
      </w:r>
      <w:r w:rsidRPr="001209DF">
        <w:rPr>
          <w:rFonts w:ascii="Arial" w:hAnsi="Arial" w:cs="Arial"/>
          <w:color w:val="000000" w:themeColor="text1"/>
          <w:sz w:val="20"/>
          <w:szCs w:val="20"/>
          <w:lang w:val="en-GB"/>
        </w:rPr>
        <w:t xml:space="preserve"> as well.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As the ceasefire-peace moment lengthens so does the middle space for non</w:t>
      </w:r>
      <w:r w:rsidR="003D0A0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partisan civil society activism as well as the competition to appropriate CSOs. For instance, in the case of the Sixteen-point Agreement (1960) concluded with Naga moderates, a key role was played by the civil society hosted mass Naga Peace Conventions (covertly backed by Indian intelligence agencies). Unable to pressure the Naga armed groups to come to the negotiating table, the 15</w:t>
      </w:r>
      <w:r w:rsidR="003D0A0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member liaison group of eminent civil society representatives themselves entered into an agreement with </w:t>
      </w:r>
      <w:r w:rsidR="003D0A01" w:rsidRPr="001209DF">
        <w:rPr>
          <w:rFonts w:ascii="Arial" w:hAnsi="Arial" w:cs="Arial"/>
          <w:color w:val="000000" w:themeColor="text1"/>
          <w:sz w:val="20"/>
          <w:szCs w:val="20"/>
          <w:lang w:val="en-GB"/>
        </w:rPr>
        <w:t xml:space="preserve">the </w:t>
      </w:r>
      <w:r w:rsidRPr="001209DF">
        <w:rPr>
          <w:rFonts w:ascii="Arial" w:hAnsi="Arial" w:cs="Arial"/>
          <w:color w:val="000000" w:themeColor="text1"/>
          <w:sz w:val="20"/>
          <w:szCs w:val="20"/>
          <w:lang w:val="en-GB"/>
        </w:rPr>
        <w:t>Government of India (GOI)</w:t>
      </w:r>
      <w:r w:rsidR="003D0A01"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The current cycle of 18 years of protracted ceasefire-peace negotiations, flagged by the 1997 Indo-Naga Ceasefire Agreement,</w:t>
      </w:r>
      <w:r w:rsidRPr="001209DF">
        <w:rPr>
          <w:rStyle w:val="FootnoteReference"/>
          <w:rFonts w:ascii="Arial" w:hAnsi="Arial" w:cs="Arial"/>
          <w:color w:val="000000" w:themeColor="text1"/>
          <w:sz w:val="20"/>
          <w:szCs w:val="20"/>
          <w:lang w:val="en-GB"/>
        </w:rPr>
        <w:footnoteReference w:id="16"/>
      </w:r>
      <w:r w:rsidRPr="001209DF">
        <w:rPr>
          <w:rFonts w:ascii="Arial" w:hAnsi="Arial" w:cs="Arial"/>
          <w:color w:val="000000" w:themeColor="text1"/>
          <w:sz w:val="20"/>
          <w:szCs w:val="20"/>
          <w:lang w:val="en-GB"/>
        </w:rPr>
        <w:t xml:space="preserve"> has created a context of expanding and intersecting circles of power (armed groups, Nagaland state government, GOI, etc.) and the conditions for the ‘taming’ of civil society</w:t>
      </w:r>
      <w:r w:rsidR="00AF2503">
        <w:rPr>
          <w:rFonts w:ascii="Arial" w:hAnsi="Arial" w:cs="Arial"/>
          <w:color w:val="000000" w:themeColor="text1"/>
          <w:sz w:val="20"/>
          <w:szCs w:val="20"/>
          <w:lang w:val="en-GB"/>
        </w:rPr>
        <w:t xml:space="preserve"> as the terrain of resistance politics.</w:t>
      </w:r>
      <w:r w:rsidRPr="001209DF">
        <w:rPr>
          <w:rFonts w:ascii="Arial" w:hAnsi="Arial" w:cs="Arial"/>
          <w:color w:val="000000" w:themeColor="text1"/>
          <w:sz w:val="20"/>
          <w:szCs w:val="20"/>
          <w:lang w:val="en-GB"/>
        </w:rPr>
        <w:t xml:space="preserve"> </w:t>
      </w:r>
    </w:p>
    <w:p w:rsidR="00061982" w:rsidRPr="001E6B9E" w:rsidRDefault="001E6B9E" w:rsidP="00B90A3C">
      <w:pPr>
        <w:autoSpaceDE w:val="0"/>
        <w:autoSpaceDN w:val="0"/>
        <w:adjustRightInd w:val="0"/>
        <w:spacing w:after="0" w:line="240" w:lineRule="auto"/>
        <w:jc w:val="both"/>
        <w:rPr>
          <w:rFonts w:ascii="Arial" w:hAnsi="Arial" w:cs="Arial"/>
          <w:b/>
          <w:color w:val="FF0000"/>
          <w:sz w:val="20"/>
          <w:szCs w:val="20"/>
          <w:lang w:val="en-GB"/>
        </w:rPr>
      </w:pPr>
      <w:r w:rsidRPr="001E6B9E">
        <w:rPr>
          <w:rFonts w:ascii="Arial" w:hAnsi="Arial" w:cs="Arial"/>
          <w:b/>
          <w:color w:val="FF0000"/>
          <w:sz w:val="20"/>
          <w:szCs w:val="20"/>
          <w:lang w:val="en-GB"/>
        </w:rPr>
        <w:t xml:space="preserve">Morocco – Enabling the Role of </w:t>
      </w:r>
      <w:r w:rsidR="00061982" w:rsidRPr="001E6B9E">
        <w:rPr>
          <w:rFonts w:ascii="Arial" w:hAnsi="Arial" w:cs="Arial"/>
          <w:b/>
          <w:color w:val="FF0000"/>
          <w:sz w:val="20"/>
          <w:szCs w:val="20"/>
          <w:lang w:val="en-GB"/>
        </w:rPr>
        <w:t xml:space="preserve">Civil Society </w:t>
      </w:r>
      <w:r>
        <w:rPr>
          <w:rFonts w:ascii="Arial" w:hAnsi="Arial" w:cs="Arial"/>
          <w:b/>
          <w:color w:val="FF0000"/>
          <w:sz w:val="20"/>
          <w:szCs w:val="20"/>
          <w:lang w:val="en-GB"/>
        </w:rPr>
        <w:t xml:space="preserve">in </w:t>
      </w:r>
      <w:r w:rsidR="00061982" w:rsidRPr="001E6B9E">
        <w:rPr>
          <w:rFonts w:ascii="Arial" w:hAnsi="Arial" w:cs="Arial"/>
          <w:b/>
          <w:color w:val="FF0000"/>
          <w:sz w:val="20"/>
          <w:szCs w:val="20"/>
          <w:lang w:val="en-GB"/>
        </w:rPr>
        <w:t xml:space="preserve">Peacebuilding </w:t>
      </w:r>
      <w:r w:rsidRPr="001E6B9E">
        <w:rPr>
          <w:rFonts w:ascii="Arial" w:hAnsi="Arial" w:cs="Arial"/>
          <w:b/>
          <w:color w:val="FF0000"/>
          <w:sz w:val="20"/>
          <w:szCs w:val="20"/>
          <w:lang w:val="en-GB"/>
        </w:rPr>
        <w:t>in Sahara</w:t>
      </w:r>
    </w:p>
    <w:p w:rsidR="00281FFE" w:rsidRPr="00AC41F3" w:rsidRDefault="00AF0071" w:rsidP="00B90A3C">
      <w:pPr>
        <w:autoSpaceDE w:val="0"/>
        <w:autoSpaceDN w:val="0"/>
        <w:adjustRightInd w:val="0"/>
        <w:spacing w:after="0" w:line="240" w:lineRule="auto"/>
        <w:jc w:val="both"/>
        <w:rPr>
          <w:rFonts w:ascii="Arial" w:hAnsi="Arial" w:cs="Arial"/>
          <w:color w:val="FF0000"/>
          <w:sz w:val="20"/>
          <w:szCs w:val="20"/>
          <w:lang w:val="en-GB"/>
        </w:rPr>
      </w:pPr>
      <w:r w:rsidRPr="00AC41F3">
        <w:rPr>
          <w:rFonts w:ascii="Arial" w:hAnsi="Arial" w:cs="Arial"/>
          <w:color w:val="FF0000"/>
          <w:sz w:val="20"/>
          <w:szCs w:val="20"/>
          <w:lang w:val="en-GB"/>
        </w:rPr>
        <w:t xml:space="preserve">In its initiative to bring a </w:t>
      </w:r>
      <w:r w:rsidR="00B90A3C" w:rsidRPr="00AC41F3">
        <w:rPr>
          <w:rFonts w:ascii="Arial" w:hAnsi="Arial" w:cs="Arial"/>
          <w:color w:val="FF0000"/>
          <w:sz w:val="20"/>
          <w:szCs w:val="20"/>
          <w:lang w:val="en-GB"/>
        </w:rPr>
        <w:t>definitive resolution to the protracted</w:t>
      </w:r>
      <w:r w:rsidRPr="00AC41F3">
        <w:rPr>
          <w:rFonts w:ascii="Arial" w:hAnsi="Arial" w:cs="Arial"/>
          <w:color w:val="FF0000"/>
          <w:sz w:val="20"/>
          <w:szCs w:val="20"/>
          <w:lang w:val="en-GB"/>
        </w:rPr>
        <w:t xml:space="preserve"> conflict over the Sahara region, M</w:t>
      </w:r>
      <w:r w:rsidR="00B90A3C" w:rsidRPr="00AC41F3">
        <w:rPr>
          <w:rFonts w:ascii="Arial" w:hAnsi="Arial" w:cs="Arial"/>
          <w:color w:val="FF0000"/>
          <w:sz w:val="20"/>
          <w:szCs w:val="20"/>
          <w:lang w:val="en-GB"/>
        </w:rPr>
        <w:t xml:space="preserve">orocco is aware of the unique role that civil society organisations can play in all aspects of peacebuilding. </w:t>
      </w:r>
      <w:r w:rsidR="00281FFE" w:rsidRPr="00AC41F3">
        <w:rPr>
          <w:rFonts w:ascii="Arial" w:hAnsi="Arial" w:cs="Arial"/>
          <w:color w:val="FF0000"/>
          <w:sz w:val="20"/>
          <w:szCs w:val="20"/>
          <w:lang w:val="en-GB"/>
        </w:rPr>
        <w:t xml:space="preserve">The series of major reforms that Morocco has undergone, including the passage of substantial amendments to the Decree on the Right to </w:t>
      </w:r>
      <w:r w:rsidR="009F48AC" w:rsidRPr="00AC41F3">
        <w:rPr>
          <w:rFonts w:ascii="Arial" w:hAnsi="Arial" w:cs="Arial"/>
          <w:color w:val="FF0000"/>
          <w:sz w:val="20"/>
          <w:szCs w:val="20"/>
          <w:lang w:val="en-GB"/>
        </w:rPr>
        <w:t>E</w:t>
      </w:r>
      <w:r w:rsidR="00281FFE" w:rsidRPr="00AC41F3">
        <w:rPr>
          <w:rFonts w:ascii="Arial" w:hAnsi="Arial" w:cs="Arial"/>
          <w:color w:val="FF0000"/>
          <w:sz w:val="20"/>
          <w:szCs w:val="20"/>
          <w:lang w:val="en-GB"/>
        </w:rPr>
        <w:t xml:space="preserve">stablish Associations in 2002 and </w:t>
      </w:r>
      <w:r w:rsidR="009F48AC" w:rsidRPr="00AC41F3">
        <w:rPr>
          <w:rFonts w:ascii="Arial" w:hAnsi="Arial" w:cs="Arial"/>
          <w:color w:val="FF0000"/>
          <w:sz w:val="20"/>
          <w:szCs w:val="20"/>
          <w:lang w:val="en-GB"/>
        </w:rPr>
        <w:t xml:space="preserve">the </w:t>
      </w:r>
      <w:r w:rsidR="00281FFE" w:rsidRPr="00AC41F3">
        <w:rPr>
          <w:rFonts w:ascii="Arial" w:hAnsi="Arial" w:cs="Arial"/>
          <w:color w:val="FF0000"/>
          <w:sz w:val="20"/>
          <w:szCs w:val="20"/>
          <w:lang w:val="en-GB"/>
        </w:rPr>
        <w:t>approval of the Constitution of 2011, have contributed to enlarg</w:t>
      </w:r>
      <w:r w:rsidR="009F48AC" w:rsidRPr="00AC41F3">
        <w:rPr>
          <w:rFonts w:ascii="Arial" w:hAnsi="Arial" w:cs="Arial"/>
          <w:color w:val="FF0000"/>
          <w:sz w:val="20"/>
          <w:szCs w:val="20"/>
          <w:lang w:val="en-GB"/>
        </w:rPr>
        <w:t>e</w:t>
      </w:r>
      <w:r w:rsidR="00281FFE" w:rsidRPr="00AC41F3">
        <w:rPr>
          <w:rFonts w:ascii="Arial" w:hAnsi="Arial" w:cs="Arial"/>
          <w:color w:val="FF0000"/>
          <w:sz w:val="20"/>
          <w:szCs w:val="20"/>
          <w:lang w:val="en-GB"/>
        </w:rPr>
        <w:t xml:space="preserve"> the legal space for civil society and expand its rights as well as its role in policymaking and the public sphere. </w:t>
      </w:r>
    </w:p>
    <w:p w:rsidR="00AC41F3" w:rsidRPr="00AC41F3" w:rsidRDefault="00AC41F3" w:rsidP="00B90A3C">
      <w:pPr>
        <w:autoSpaceDE w:val="0"/>
        <w:autoSpaceDN w:val="0"/>
        <w:adjustRightInd w:val="0"/>
        <w:spacing w:after="0" w:line="240" w:lineRule="auto"/>
        <w:jc w:val="both"/>
        <w:rPr>
          <w:rFonts w:ascii="Arial" w:hAnsi="Arial" w:cs="Arial"/>
          <w:color w:val="FF0000"/>
          <w:sz w:val="20"/>
          <w:szCs w:val="20"/>
          <w:lang w:val="en-GB"/>
        </w:rPr>
      </w:pPr>
    </w:p>
    <w:p w:rsidR="00AF0071" w:rsidRPr="00AC41F3" w:rsidRDefault="00B90A3C" w:rsidP="00B90A3C">
      <w:pPr>
        <w:autoSpaceDE w:val="0"/>
        <w:autoSpaceDN w:val="0"/>
        <w:adjustRightInd w:val="0"/>
        <w:spacing w:after="0" w:line="240" w:lineRule="auto"/>
        <w:jc w:val="both"/>
        <w:rPr>
          <w:rFonts w:ascii="Arial" w:hAnsi="Arial" w:cs="Arial"/>
          <w:color w:val="FF0000"/>
          <w:sz w:val="20"/>
          <w:szCs w:val="20"/>
          <w:lang w:val="en-GB"/>
        </w:rPr>
      </w:pPr>
      <w:r w:rsidRPr="00AC41F3">
        <w:rPr>
          <w:rFonts w:ascii="Arial" w:hAnsi="Arial" w:cs="Arial"/>
          <w:color w:val="FF0000"/>
          <w:sz w:val="20"/>
          <w:szCs w:val="20"/>
          <w:lang w:val="en-GB"/>
        </w:rPr>
        <w:t xml:space="preserve">In its Article 3, the Initiative is presented as part of the endeavours made to build a modern, democratic society, based on the rule of law, collective and individual freedoms, and economic and social development. </w:t>
      </w:r>
      <w:r w:rsidR="00136994">
        <w:rPr>
          <w:rFonts w:ascii="Arial" w:hAnsi="Arial" w:cs="Arial"/>
          <w:color w:val="FF0000"/>
          <w:sz w:val="20"/>
          <w:szCs w:val="20"/>
          <w:lang w:val="en-GB"/>
        </w:rPr>
        <w:t xml:space="preserve">It </w:t>
      </w:r>
      <w:r w:rsidR="00BD70F4">
        <w:rPr>
          <w:rFonts w:ascii="Arial" w:hAnsi="Arial" w:cs="Arial"/>
          <w:color w:val="FF0000"/>
          <w:sz w:val="20"/>
          <w:szCs w:val="20"/>
          <w:lang w:val="en-GB"/>
        </w:rPr>
        <w:t xml:space="preserve">hopes to create the context “for a </w:t>
      </w:r>
      <w:r w:rsidRPr="00AC41F3">
        <w:rPr>
          <w:rFonts w:ascii="Arial" w:hAnsi="Arial" w:cs="Arial"/>
          <w:color w:val="FF0000"/>
          <w:sz w:val="20"/>
          <w:szCs w:val="20"/>
          <w:lang w:val="en-GB"/>
        </w:rPr>
        <w:t xml:space="preserve">better future for the region’s populations, put an end to separation and exile, and promotes reconciliation.” Its Article 4 </w:t>
      </w:r>
      <w:r w:rsidR="008432E6" w:rsidRPr="00AC41F3">
        <w:rPr>
          <w:rFonts w:ascii="Arial" w:hAnsi="Arial" w:cs="Arial"/>
          <w:color w:val="FF0000"/>
          <w:sz w:val="20"/>
          <w:szCs w:val="20"/>
          <w:lang w:val="en-GB"/>
        </w:rPr>
        <w:t>“</w:t>
      </w:r>
      <w:r w:rsidRPr="00AC41F3">
        <w:rPr>
          <w:rFonts w:ascii="Arial" w:hAnsi="Arial" w:cs="Arial"/>
          <w:color w:val="FF0000"/>
          <w:sz w:val="20"/>
          <w:szCs w:val="20"/>
          <w:lang w:val="en-GB"/>
        </w:rPr>
        <w:t xml:space="preserve">guarantees to all </w:t>
      </w:r>
      <w:proofErr w:type="spellStart"/>
      <w:r w:rsidRPr="00AC41F3">
        <w:rPr>
          <w:rFonts w:ascii="Arial" w:hAnsi="Arial" w:cs="Arial"/>
          <w:color w:val="FF0000"/>
          <w:sz w:val="20"/>
          <w:szCs w:val="20"/>
          <w:lang w:val="en-GB"/>
        </w:rPr>
        <w:t>Sahrawis</w:t>
      </w:r>
      <w:proofErr w:type="spellEnd"/>
      <w:r w:rsidRPr="00AC41F3">
        <w:rPr>
          <w:rFonts w:ascii="Arial" w:hAnsi="Arial" w:cs="Arial"/>
          <w:color w:val="FF0000"/>
          <w:sz w:val="20"/>
          <w:szCs w:val="20"/>
          <w:lang w:val="en-GB"/>
        </w:rPr>
        <w:t>, inside as well as outside the territory, that they will hold a privileged position and play a leading role in the bodies and institutions of the region, without discrimination or exclusion</w:t>
      </w:r>
      <w:r w:rsidR="008432E6" w:rsidRPr="00AC41F3">
        <w:rPr>
          <w:rFonts w:ascii="Arial" w:hAnsi="Arial" w:cs="Arial"/>
          <w:color w:val="FF0000"/>
          <w:sz w:val="20"/>
          <w:szCs w:val="20"/>
          <w:lang w:val="en-GB"/>
        </w:rPr>
        <w:t>”</w:t>
      </w:r>
      <w:r w:rsidRPr="00AC41F3">
        <w:rPr>
          <w:rFonts w:ascii="Arial" w:hAnsi="Arial" w:cs="Arial"/>
          <w:color w:val="FF0000"/>
          <w:sz w:val="20"/>
          <w:szCs w:val="20"/>
          <w:lang w:val="en-GB"/>
        </w:rPr>
        <w:t>. Moreover, according to its Article 32, “[o]</w:t>
      </w:r>
      <w:proofErr w:type="spellStart"/>
      <w:r w:rsidRPr="00AC41F3">
        <w:rPr>
          <w:rFonts w:ascii="Arial" w:hAnsi="Arial" w:cs="Arial"/>
          <w:color w:val="FF0000"/>
          <w:sz w:val="20"/>
          <w:szCs w:val="20"/>
          <w:lang w:val="en-GB"/>
        </w:rPr>
        <w:t>nce</w:t>
      </w:r>
      <w:proofErr w:type="spellEnd"/>
      <w:r w:rsidRPr="00AC41F3">
        <w:rPr>
          <w:rFonts w:ascii="Arial" w:hAnsi="Arial" w:cs="Arial"/>
          <w:color w:val="FF0000"/>
          <w:sz w:val="20"/>
          <w:szCs w:val="20"/>
          <w:lang w:val="en-GB"/>
        </w:rPr>
        <w:t xml:space="preserve"> the parties have agreed on the proposed autonomy, a Transitional Council composed of their representatives shall assist with repatriation, disarmament, demobilization and reintegration of armed elements who are outside the territory, as well as with any other action aimed at securing the approval and implementation of the present Statute, including elections.”</w:t>
      </w:r>
    </w:p>
    <w:p w:rsidR="008432E6" w:rsidRPr="00AC41F3" w:rsidRDefault="008432E6" w:rsidP="00B90A3C">
      <w:pPr>
        <w:autoSpaceDE w:val="0"/>
        <w:autoSpaceDN w:val="0"/>
        <w:adjustRightInd w:val="0"/>
        <w:spacing w:after="0" w:line="240" w:lineRule="auto"/>
        <w:jc w:val="both"/>
        <w:rPr>
          <w:rFonts w:ascii="Arial" w:hAnsi="Arial" w:cs="Arial"/>
          <w:color w:val="FF0000"/>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pStyle w:val="ListParagraph"/>
        <w:numPr>
          <w:ilvl w:val="0"/>
          <w:numId w:val="6"/>
        </w:numPr>
        <w:spacing w:after="0" w:line="240" w:lineRule="auto"/>
        <w:ind w:left="567" w:hanging="283"/>
        <w:contextualSpacing w:val="0"/>
        <w:jc w:val="both"/>
        <w:rPr>
          <w:rFonts w:ascii="Arial" w:hAnsi="Arial" w:cs="Arial"/>
          <w:color w:val="000000" w:themeColor="text1"/>
          <w:sz w:val="20"/>
          <w:szCs w:val="20"/>
          <w:lang w:val="en-GB"/>
        </w:rPr>
      </w:pPr>
      <w:r w:rsidRPr="001209DF">
        <w:rPr>
          <w:rFonts w:ascii="Arial" w:hAnsi="Arial" w:cs="Arial"/>
          <w:b/>
          <w:color w:val="000000" w:themeColor="text1"/>
          <w:sz w:val="20"/>
          <w:szCs w:val="20"/>
          <w:lang w:val="en-GB"/>
        </w:rPr>
        <w:t xml:space="preserve">Stakeholders in the Peace Process: Naga </w:t>
      </w:r>
      <w:r w:rsidR="009F4879" w:rsidRPr="001209DF">
        <w:rPr>
          <w:rFonts w:ascii="Arial" w:hAnsi="Arial" w:cs="Arial"/>
          <w:b/>
          <w:color w:val="000000" w:themeColor="text1"/>
          <w:sz w:val="20"/>
          <w:szCs w:val="20"/>
          <w:lang w:val="en-GB"/>
        </w:rPr>
        <w:t>C</w:t>
      </w:r>
      <w:r w:rsidRPr="001209DF">
        <w:rPr>
          <w:rFonts w:ascii="Arial" w:hAnsi="Arial" w:cs="Arial"/>
          <w:b/>
          <w:color w:val="000000" w:themeColor="text1"/>
          <w:sz w:val="20"/>
          <w:szCs w:val="20"/>
          <w:lang w:val="en-GB"/>
        </w:rPr>
        <w:t xml:space="preserve">ivil </w:t>
      </w:r>
      <w:r w:rsidR="009F4879" w:rsidRPr="001209DF">
        <w:rPr>
          <w:rFonts w:ascii="Arial" w:hAnsi="Arial" w:cs="Arial"/>
          <w:b/>
          <w:color w:val="000000" w:themeColor="text1"/>
          <w:sz w:val="20"/>
          <w:szCs w:val="20"/>
          <w:lang w:val="en-GB"/>
        </w:rPr>
        <w:t>S</w:t>
      </w:r>
      <w:r w:rsidRPr="001209DF">
        <w:rPr>
          <w:rFonts w:ascii="Arial" w:hAnsi="Arial" w:cs="Arial"/>
          <w:b/>
          <w:color w:val="000000" w:themeColor="text1"/>
          <w:sz w:val="20"/>
          <w:szCs w:val="20"/>
          <w:lang w:val="en-GB"/>
        </w:rPr>
        <w:t xml:space="preserve">ociety/ NGOs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B90A3C" w:rsidP="00001F6A">
      <w:pPr>
        <w:spacing w:after="0" w:line="240" w:lineRule="auto"/>
        <w:jc w:val="both"/>
        <w:rPr>
          <w:rFonts w:ascii="Arial" w:hAnsi="Arial" w:cs="Arial"/>
          <w:color w:val="000000" w:themeColor="text1"/>
          <w:sz w:val="20"/>
          <w:szCs w:val="20"/>
          <w:lang w:val="en-GB"/>
        </w:rPr>
      </w:pPr>
      <w:r w:rsidRPr="00B90A3C">
        <w:rPr>
          <w:rFonts w:ascii="Arial" w:hAnsi="Arial" w:cs="Arial"/>
          <w:color w:val="FF0000"/>
          <w:sz w:val="20"/>
          <w:szCs w:val="20"/>
          <w:lang w:val="en-GB"/>
        </w:rPr>
        <w:t xml:space="preserve">In India, </w:t>
      </w:r>
      <w:r w:rsidR="00CB5AAB" w:rsidRPr="001209DF">
        <w:rPr>
          <w:rFonts w:ascii="Arial" w:hAnsi="Arial" w:cs="Arial"/>
          <w:color w:val="000000" w:themeColor="text1"/>
          <w:sz w:val="20"/>
          <w:szCs w:val="20"/>
          <w:lang w:val="en-GB"/>
        </w:rPr>
        <w:t xml:space="preserve">Naga tribal society’s basic social norms of collective activism are what provide the basis for the dynamism of Naga CSOs across a range of </w:t>
      </w:r>
      <w:proofErr w:type="spellStart"/>
      <w:r w:rsidR="009F4879" w:rsidRPr="001209DF">
        <w:rPr>
          <w:rFonts w:ascii="Arial" w:hAnsi="Arial" w:cs="Arial"/>
          <w:color w:val="000000" w:themeColor="text1"/>
          <w:sz w:val="20"/>
          <w:szCs w:val="20"/>
          <w:lang w:val="en-GB"/>
        </w:rPr>
        <w:t>peacebuilding</w:t>
      </w:r>
      <w:proofErr w:type="spellEnd"/>
      <w:r w:rsidR="00CB5AAB" w:rsidRPr="001209DF">
        <w:rPr>
          <w:rFonts w:ascii="Arial" w:hAnsi="Arial" w:cs="Arial"/>
          <w:color w:val="000000" w:themeColor="text1"/>
          <w:sz w:val="20"/>
          <w:szCs w:val="20"/>
          <w:lang w:val="en-GB"/>
        </w:rPr>
        <w:t xml:space="preserve"> functions</w:t>
      </w:r>
      <w:r w:rsidR="009F4879" w:rsidRPr="001209DF">
        <w:rPr>
          <w:rFonts w:ascii="Arial" w:hAnsi="Arial" w:cs="Arial"/>
          <w:color w:val="000000" w:themeColor="text1"/>
          <w:sz w:val="20"/>
          <w:szCs w:val="20"/>
          <w:lang w:val="en-GB"/>
        </w:rPr>
        <w:t xml:space="preserve">: </w:t>
      </w:r>
      <w:r w:rsidR="00CB5AAB" w:rsidRPr="001209DF">
        <w:rPr>
          <w:rFonts w:ascii="Arial" w:hAnsi="Arial" w:cs="Arial"/>
          <w:color w:val="000000" w:themeColor="text1"/>
          <w:sz w:val="20"/>
          <w:szCs w:val="20"/>
          <w:lang w:val="en-GB"/>
        </w:rPr>
        <w:t>protecting human rights</w:t>
      </w:r>
      <w:r w:rsidR="009F4879"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 xml:space="preserve"> fostering a society-wide consensus in support of the </w:t>
      </w:r>
      <w:r w:rsidR="009F4879" w:rsidRPr="001209DF">
        <w:rPr>
          <w:rFonts w:ascii="Arial" w:hAnsi="Arial" w:cs="Arial"/>
          <w:color w:val="000000" w:themeColor="text1"/>
          <w:sz w:val="20"/>
          <w:szCs w:val="20"/>
          <w:lang w:val="en-GB"/>
        </w:rPr>
        <w:t xml:space="preserve">National Socialist Council of </w:t>
      </w:r>
      <w:hyperlink r:id="rId8" w:tooltip="Nagaland" w:history="1">
        <w:r w:rsidR="009F4879" w:rsidRPr="001209DF">
          <w:rPr>
            <w:rFonts w:ascii="Arial" w:hAnsi="Arial" w:cs="Arial"/>
            <w:color w:val="000000" w:themeColor="text1"/>
            <w:sz w:val="20"/>
            <w:szCs w:val="20"/>
            <w:lang w:val="en-GB"/>
          </w:rPr>
          <w:t>Nagaland</w:t>
        </w:r>
      </w:hyperlink>
      <w:r w:rsidR="003C0B60" w:rsidRPr="001209DF">
        <w:rPr>
          <w:rFonts w:ascii="Arial" w:hAnsi="Arial" w:cs="Arial"/>
          <w:color w:val="000000" w:themeColor="text1"/>
          <w:sz w:val="20"/>
          <w:szCs w:val="20"/>
        </w:rPr>
        <w:t>-I</w:t>
      </w:r>
      <w:proofErr w:type="spellStart"/>
      <w:r w:rsidR="003C0B60" w:rsidRPr="001209DF">
        <w:rPr>
          <w:rFonts w:ascii="Arial" w:hAnsi="Arial" w:cs="Arial"/>
          <w:color w:val="000000" w:themeColor="text1"/>
          <w:sz w:val="20"/>
          <w:szCs w:val="20"/>
          <w:lang w:val="en-GB"/>
        </w:rPr>
        <w:t>sak-Muivah</w:t>
      </w:r>
      <w:proofErr w:type="spellEnd"/>
      <w:r w:rsidR="009F4879" w:rsidRPr="001209DF">
        <w:rPr>
          <w:rFonts w:ascii="Arial" w:hAnsi="Arial" w:cs="Arial"/>
          <w:color w:val="000000" w:themeColor="text1"/>
          <w:sz w:val="20"/>
          <w:szCs w:val="20"/>
          <w:lang w:val="en-GB"/>
        </w:rPr>
        <w:t xml:space="preserve"> (</w:t>
      </w:r>
      <w:r w:rsidR="00CB5AAB" w:rsidRPr="001209DF">
        <w:rPr>
          <w:rFonts w:ascii="Arial" w:hAnsi="Arial" w:cs="Arial"/>
          <w:color w:val="000000" w:themeColor="text1"/>
          <w:sz w:val="20"/>
          <w:szCs w:val="20"/>
          <w:lang w:val="en-GB"/>
        </w:rPr>
        <w:t>NSCN-IM</w:t>
      </w:r>
      <w:r w:rsidR="009F4879"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led peace negotiation</w:t>
      </w:r>
      <w:r w:rsidR="009F4879"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 xml:space="preserve"> fostering dialogue and building reconciliation and social cohesion. Naga ‘social organisations’ have served as a vital barometer of the public mood, providing NSCN leaders, isolated by long years in the jungle, an understanding of the direction and scope of what can be negotiated without being denounced as a sell-out. In addition, the Naga social organizations, representing as it were the Naga public, have in several (though ad hoc) consultative meetings with the NSCN leaders endorsed the NSCN’s mandate to speak for the </w:t>
      </w:r>
      <w:proofErr w:type="spellStart"/>
      <w:r w:rsidR="00CB5AAB" w:rsidRPr="001209DF">
        <w:rPr>
          <w:rFonts w:ascii="Arial" w:hAnsi="Arial" w:cs="Arial"/>
          <w:color w:val="000000" w:themeColor="text1"/>
          <w:sz w:val="20"/>
          <w:szCs w:val="20"/>
          <w:lang w:val="en-GB"/>
        </w:rPr>
        <w:t>Nagas</w:t>
      </w:r>
      <w:proofErr w:type="spellEnd"/>
      <w:r w:rsidR="00CB5AAB" w:rsidRPr="001209DF">
        <w:rPr>
          <w:rFonts w:ascii="Arial" w:hAnsi="Arial" w:cs="Arial"/>
          <w:color w:val="000000" w:themeColor="text1"/>
          <w:sz w:val="20"/>
          <w:szCs w:val="20"/>
          <w:lang w:val="en-GB"/>
        </w:rPr>
        <w:t xml:space="preserve"> in the peace negotiations. </w:t>
      </w:r>
      <w:r w:rsidR="009F4879" w:rsidRPr="001209DF">
        <w:rPr>
          <w:rFonts w:ascii="Arial" w:hAnsi="Arial" w:cs="Arial"/>
          <w:color w:val="000000" w:themeColor="text1"/>
          <w:sz w:val="20"/>
          <w:szCs w:val="20"/>
          <w:lang w:val="en-GB"/>
        </w:rPr>
        <w:t>Eighteen</w:t>
      </w:r>
      <w:r w:rsidR="00CB5AAB" w:rsidRPr="001209DF">
        <w:rPr>
          <w:rFonts w:ascii="Arial" w:hAnsi="Arial" w:cs="Arial"/>
          <w:color w:val="000000" w:themeColor="text1"/>
          <w:sz w:val="20"/>
          <w:szCs w:val="20"/>
          <w:lang w:val="en-GB"/>
        </w:rPr>
        <w:t xml:space="preserve"> years of a long cold peace has produced a diverse and dynamic ‘civil society’ ranging from the traditionally rooted tribal public organisations with their mass student and women’s fronts, church groups with trans-national connections, modern rights</w:t>
      </w:r>
      <w:r w:rsidR="009F4879"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based NGOs connected to national and international human rights networks and the media. Without getting lost in the debate on whether ethnically structured CSOs can jostle alongside voluntary professional NGOs in a modern civil society sphere –for the limited purposes of th</w:t>
      </w:r>
      <w:r w:rsidR="00AF2503">
        <w:rPr>
          <w:rFonts w:ascii="Arial" w:hAnsi="Arial" w:cs="Arial"/>
          <w:color w:val="000000" w:themeColor="text1"/>
          <w:sz w:val="20"/>
          <w:szCs w:val="20"/>
          <w:lang w:val="en-GB"/>
        </w:rPr>
        <w:t>is paper–</w:t>
      </w:r>
      <w:r w:rsidR="00CB5AAB" w:rsidRPr="001209DF">
        <w:rPr>
          <w:rFonts w:ascii="Arial" w:hAnsi="Arial" w:cs="Arial"/>
          <w:color w:val="000000" w:themeColor="text1"/>
          <w:sz w:val="20"/>
          <w:szCs w:val="20"/>
          <w:lang w:val="en-GB"/>
        </w:rPr>
        <w:t xml:space="preserve"> what matters is whether CSOs meet the functional or purposive criteria.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It is also important to remind that in the Naga context, the Naga apex organizations that have come to dominate the civil society space are of recent vintage</w:t>
      </w:r>
      <w:r w:rsidR="009F4879" w:rsidRPr="001209DF">
        <w:rPr>
          <w:rFonts w:ascii="Arial" w:hAnsi="Arial" w:cs="Arial"/>
          <w:color w:val="000000" w:themeColor="text1"/>
          <w:sz w:val="20"/>
          <w:szCs w:val="20"/>
          <w:lang w:val="en-GB"/>
        </w:rPr>
        <w:t xml:space="preserve"> </w:t>
      </w:r>
      <w:r w:rsidR="009F4879" w:rsidRPr="001209DF">
        <w:rPr>
          <w:rFonts w:ascii="Arial" w:hAnsi="Arial" w:cs="Arial"/>
          <w:color w:val="000000" w:themeColor="text1"/>
          <w:sz w:val="20"/>
          <w:szCs w:val="20"/>
          <w:lang w:val="en-GB"/>
        </w:rPr>
        <w:sym w:font="Symbol" w:char="F02D"/>
      </w:r>
      <w:r w:rsidRPr="001209DF">
        <w:rPr>
          <w:rFonts w:ascii="Arial" w:hAnsi="Arial" w:cs="Arial"/>
          <w:color w:val="000000" w:themeColor="text1"/>
          <w:sz w:val="20"/>
          <w:szCs w:val="20"/>
          <w:lang w:val="en-GB"/>
        </w:rPr>
        <w:t xml:space="preserve">the Naga Ho </w:t>
      </w:r>
      <w:proofErr w:type="spellStart"/>
      <w:r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t xml:space="preserve"> (1997), Naga Mothers Association (1994 took on </w:t>
      </w:r>
      <w:r w:rsidR="009F4879" w:rsidRPr="001209DF">
        <w:rPr>
          <w:rFonts w:ascii="Arial" w:hAnsi="Arial" w:cs="Arial"/>
          <w:color w:val="000000" w:themeColor="text1"/>
          <w:sz w:val="20"/>
          <w:szCs w:val="20"/>
          <w:lang w:val="en-GB"/>
        </w:rPr>
        <w:t>peacebuilding</w:t>
      </w:r>
      <w:r w:rsidRPr="001209DF">
        <w:rPr>
          <w:rFonts w:ascii="Arial" w:hAnsi="Arial" w:cs="Arial"/>
          <w:color w:val="000000" w:themeColor="text1"/>
          <w:sz w:val="20"/>
          <w:szCs w:val="20"/>
          <w:lang w:val="en-GB"/>
        </w:rPr>
        <w:t xml:space="preserve"> role)</w:t>
      </w:r>
      <w:r w:rsidR="009F4879" w:rsidRPr="001209DF">
        <w:rPr>
          <w:rFonts w:ascii="Arial" w:hAnsi="Arial" w:cs="Arial"/>
          <w:color w:val="000000" w:themeColor="text1"/>
          <w:sz w:val="20"/>
          <w:szCs w:val="20"/>
          <w:lang w:val="en-GB"/>
        </w:rPr>
        <w:sym w:font="Symbol" w:char="F02D"/>
      </w:r>
      <w:r w:rsidRPr="001209DF">
        <w:rPr>
          <w:rFonts w:ascii="Arial" w:hAnsi="Arial" w:cs="Arial"/>
          <w:color w:val="000000" w:themeColor="text1"/>
          <w:sz w:val="20"/>
          <w:szCs w:val="20"/>
          <w:lang w:val="en-GB"/>
        </w:rPr>
        <w:t xml:space="preserve"> rest on the hoary shoulders of the traditional Naga tribal organizations, but in many respects, these are modernist projects and are led by members belonging to the ‘new middle class’. Manchanda and Bose’s study contends that this small but influential educated, professional social grouping which straddles both traditional tribal institutions and the modern socio-economic structures of Nagaland state is expanding the Naga public sphere and reshaping its politics.</w:t>
      </w:r>
      <w:r w:rsidRPr="001209DF">
        <w:rPr>
          <w:rStyle w:val="FootnoteReference"/>
          <w:rFonts w:ascii="Arial" w:hAnsi="Arial" w:cs="Arial"/>
          <w:color w:val="000000" w:themeColor="text1"/>
          <w:sz w:val="20"/>
          <w:szCs w:val="20"/>
          <w:lang w:val="en-GB"/>
        </w:rPr>
        <w:footnoteReference w:id="17"/>
      </w:r>
      <w:r w:rsidRPr="001209DF">
        <w:rPr>
          <w:rFonts w:ascii="Arial" w:hAnsi="Arial" w:cs="Arial"/>
          <w:color w:val="000000" w:themeColor="text1"/>
          <w:sz w:val="20"/>
          <w:szCs w:val="20"/>
          <w:lang w:val="en-GB"/>
        </w:rPr>
        <w:t xml:space="preserve"> Many of the leading Naga civil society actors cut their activist teeth in the highly influential modern secular voluntary organization Naga Peoples Movement for Human Rights (NPMHR) which owes its origins in 1978 to the democratic ferment that followed India’s Emergency years (1975-</w:t>
      </w:r>
      <w:r w:rsidR="009F4879" w:rsidRPr="001209DF">
        <w:rPr>
          <w:rFonts w:ascii="Arial" w:hAnsi="Arial" w:cs="Arial"/>
          <w:color w:val="000000" w:themeColor="text1"/>
          <w:sz w:val="20"/>
          <w:szCs w:val="20"/>
          <w:lang w:val="en-GB"/>
        </w:rPr>
        <w:t>19</w:t>
      </w:r>
      <w:r w:rsidRPr="001209DF">
        <w:rPr>
          <w:rFonts w:ascii="Arial" w:hAnsi="Arial" w:cs="Arial"/>
          <w:color w:val="000000" w:themeColor="text1"/>
          <w:sz w:val="20"/>
          <w:szCs w:val="20"/>
          <w:lang w:val="en-GB"/>
        </w:rPr>
        <w:t>78).</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1E612A" w:rsidRPr="001209DF" w:rsidRDefault="00CB5AAB" w:rsidP="00001F6A">
      <w:pPr>
        <w:pStyle w:val="ListParagraph"/>
        <w:numPr>
          <w:ilvl w:val="0"/>
          <w:numId w:val="6"/>
        </w:numPr>
        <w:spacing w:after="0" w:line="240" w:lineRule="auto"/>
        <w:ind w:left="567" w:hanging="283"/>
        <w:contextualSpacing w:val="0"/>
        <w:jc w:val="both"/>
        <w:rPr>
          <w:rFonts w:ascii="Arial" w:hAnsi="Arial" w:cs="Arial"/>
          <w:color w:val="000000" w:themeColor="text1"/>
          <w:sz w:val="20"/>
          <w:szCs w:val="20"/>
          <w:lang w:val="en-GB"/>
        </w:rPr>
      </w:pPr>
      <w:r w:rsidRPr="001209DF">
        <w:rPr>
          <w:rFonts w:ascii="Arial" w:hAnsi="Arial" w:cs="Arial"/>
          <w:b/>
          <w:color w:val="000000" w:themeColor="text1"/>
          <w:sz w:val="20"/>
          <w:szCs w:val="20"/>
          <w:lang w:val="en-GB"/>
        </w:rPr>
        <w:t>Internationalising the Naga Issue</w:t>
      </w:r>
    </w:p>
    <w:p w:rsidR="00CB5AAB" w:rsidRPr="001209DF" w:rsidRDefault="00CB5AAB" w:rsidP="00001F6A">
      <w:pPr>
        <w:spacing w:after="0" w:line="240" w:lineRule="auto"/>
        <w:jc w:val="both"/>
        <w:rPr>
          <w:rFonts w:ascii="Arial" w:hAnsi="Arial" w:cs="Arial"/>
          <w:b/>
          <w:color w:val="000000" w:themeColor="text1"/>
          <w:sz w:val="20"/>
          <w:szCs w:val="20"/>
          <w:lang w:val="en-GB"/>
        </w:rPr>
      </w:pPr>
    </w:p>
    <w:p w:rsidR="003C0B60" w:rsidRPr="00B90A3C" w:rsidRDefault="003C0B60" w:rsidP="00001F6A">
      <w:pPr>
        <w:spacing w:after="0" w:line="240" w:lineRule="auto"/>
        <w:jc w:val="both"/>
        <w:rPr>
          <w:rFonts w:ascii="Arial" w:hAnsi="Arial" w:cs="Arial"/>
          <w:color w:val="000000" w:themeColor="text1"/>
          <w:sz w:val="20"/>
          <w:szCs w:val="20"/>
          <w:lang w:val="en-GB"/>
        </w:rPr>
      </w:pPr>
      <w:r w:rsidRPr="001209DF">
        <w:rPr>
          <w:rStyle w:val="Emphasis"/>
          <w:rFonts w:ascii="Arial" w:hAnsi="Arial" w:cs="Arial"/>
          <w:i w:val="0"/>
          <w:color w:val="000000" w:themeColor="text1"/>
          <w:sz w:val="20"/>
          <w:szCs w:val="20"/>
          <w:u w:val="single"/>
        </w:rPr>
        <w:t>Naga</w:t>
      </w:r>
      <w:r w:rsidRPr="001209DF">
        <w:rPr>
          <w:rStyle w:val="st"/>
          <w:rFonts w:ascii="Arial" w:hAnsi="Arial" w:cs="Arial"/>
          <w:i/>
          <w:color w:val="000000" w:themeColor="text1"/>
          <w:sz w:val="20"/>
          <w:szCs w:val="20"/>
          <w:u w:val="single"/>
        </w:rPr>
        <w:t xml:space="preserve"> </w:t>
      </w:r>
      <w:r w:rsidRPr="001209DF">
        <w:rPr>
          <w:rStyle w:val="st"/>
          <w:rFonts w:ascii="Arial" w:hAnsi="Arial" w:cs="Arial"/>
          <w:color w:val="000000" w:themeColor="text1"/>
          <w:sz w:val="20"/>
          <w:szCs w:val="20"/>
          <w:u w:val="single"/>
        </w:rPr>
        <w:t>Peoples Movement for Human Rights</w:t>
      </w:r>
      <w:r w:rsidRPr="001209DF">
        <w:rPr>
          <w:rFonts w:ascii="Arial" w:hAnsi="Arial" w:cs="Arial"/>
          <w:b/>
          <w:color w:val="000000" w:themeColor="text1"/>
          <w:sz w:val="20"/>
          <w:szCs w:val="20"/>
          <w:u w:val="single"/>
          <w:lang w:val="en-GB"/>
        </w:rPr>
        <w:t xml:space="preserve"> </w:t>
      </w:r>
      <w:r w:rsidRPr="00B90A3C">
        <w:rPr>
          <w:rFonts w:ascii="Arial" w:hAnsi="Arial" w:cs="Arial"/>
          <w:color w:val="000000" w:themeColor="text1"/>
          <w:sz w:val="20"/>
          <w:szCs w:val="20"/>
          <w:u w:val="single"/>
          <w:lang w:val="en-GB"/>
        </w:rPr>
        <w:t>(</w:t>
      </w:r>
      <w:r w:rsidR="00CB5AAB" w:rsidRPr="00B90A3C">
        <w:rPr>
          <w:rFonts w:ascii="Arial" w:hAnsi="Arial" w:cs="Arial"/>
          <w:color w:val="000000" w:themeColor="text1"/>
          <w:sz w:val="20"/>
          <w:szCs w:val="20"/>
          <w:u w:val="single"/>
          <w:lang w:val="en-GB"/>
        </w:rPr>
        <w:t>NPMHR</w:t>
      </w:r>
      <w:r w:rsidRPr="00B90A3C">
        <w:rPr>
          <w:rFonts w:ascii="Arial" w:hAnsi="Arial" w:cs="Arial"/>
          <w:color w:val="000000" w:themeColor="text1"/>
          <w:sz w:val="20"/>
          <w:szCs w:val="20"/>
          <w:u w:val="single"/>
          <w:lang w:val="en-GB"/>
        </w:rPr>
        <w:t>)</w:t>
      </w:r>
      <w:r w:rsidRPr="00B90A3C">
        <w:rPr>
          <w:rFonts w:ascii="Arial" w:hAnsi="Arial" w:cs="Arial"/>
          <w:color w:val="000000" w:themeColor="text1"/>
          <w:sz w:val="20"/>
          <w:szCs w:val="20"/>
          <w:lang w:val="en-GB"/>
        </w:rPr>
        <w:t>:</w:t>
      </w: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NPMHR’s Founder President, </w:t>
      </w:r>
      <w:proofErr w:type="spellStart"/>
      <w:r w:rsidRPr="001209DF">
        <w:rPr>
          <w:rFonts w:ascii="Arial" w:hAnsi="Arial" w:cs="Arial"/>
          <w:color w:val="000000" w:themeColor="text1"/>
          <w:sz w:val="20"/>
          <w:szCs w:val="20"/>
          <w:lang w:val="en-GB"/>
        </w:rPr>
        <w:t>Lingum</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Liuthui</w:t>
      </w:r>
      <w:proofErr w:type="spellEnd"/>
      <w:r w:rsidRPr="001209DF">
        <w:rPr>
          <w:rFonts w:ascii="Arial" w:hAnsi="Arial" w:cs="Arial"/>
          <w:color w:val="000000" w:themeColor="text1"/>
          <w:sz w:val="20"/>
          <w:szCs w:val="20"/>
          <w:lang w:val="en-GB"/>
        </w:rPr>
        <w:t>, brought a rights</w:t>
      </w:r>
      <w:r w:rsidR="003C0B60"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based radicalism and important democratic rights connections from his student days in Delhi’s Jawaharlal Nehru University. He challenged the Indian state on army abuses under AFSPA in the Supreme Court in 1987 and though the 1997 judgment upheld the validity of AFSPA, a code of conduct of ten ‘Do’s and Don’ts’ were made mandatory but have proved ineffective in stopping abuse. </w:t>
      </w:r>
      <w:proofErr w:type="spellStart"/>
      <w:r w:rsidRPr="001209DF">
        <w:rPr>
          <w:rFonts w:ascii="Arial" w:hAnsi="Arial" w:cs="Arial"/>
          <w:color w:val="000000" w:themeColor="text1"/>
          <w:sz w:val="20"/>
          <w:szCs w:val="20"/>
          <w:lang w:val="en-GB"/>
        </w:rPr>
        <w:t>Liuthui’s</w:t>
      </w:r>
      <w:proofErr w:type="spellEnd"/>
      <w:r w:rsidRPr="001209DF">
        <w:rPr>
          <w:rFonts w:ascii="Arial" w:hAnsi="Arial" w:cs="Arial"/>
          <w:color w:val="000000" w:themeColor="text1"/>
          <w:sz w:val="20"/>
          <w:szCs w:val="20"/>
          <w:lang w:val="en-GB"/>
        </w:rPr>
        <w:t xml:space="preserve"> critical contribution was the internationalization of the Naga issue. As President of the International Asian Indigenous Peoples Forum, he promoted Naga membership in the </w:t>
      </w:r>
      <w:r w:rsidR="003C0B60" w:rsidRPr="001209DF">
        <w:rPr>
          <w:rFonts w:ascii="Arial" w:hAnsi="Arial" w:cs="Arial"/>
          <w:color w:val="000000" w:themeColor="text1"/>
          <w:sz w:val="20"/>
          <w:szCs w:val="20"/>
          <w:lang w:val="en-GB"/>
        </w:rPr>
        <w:t>United Nations (</w:t>
      </w:r>
      <w:r w:rsidRPr="001209DF">
        <w:rPr>
          <w:rFonts w:ascii="Arial" w:hAnsi="Arial" w:cs="Arial"/>
          <w:color w:val="000000" w:themeColor="text1"/>
          <w:sz w:val="20"/>
          <w:szCs w:val="20"/>
          <w:lang w:val="en-GB"/>
        </w:rPr>
        <w:t>UN</w:t>
      </w:r>
      <w:r w:rsidR="003C0B60"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Working Group on Indigenous Populations and enabled the Naga Socialist Council of </w:t>
      </w:r>
      <w:proofErr w:type="spellStart"/>
      <w:r w:rsidRPr="001209DF">
        <w:rPr>
          <w:rFonts w:ascii="Arial" w:hAnsi="Arial" w:cs="Arial"/>
          <w:color w:val="000000" w:themeColor="text1"/>
          <w:sz w:val="20"/>
          <w:szCs w:val="20"/>
          <w:lang w:val="en-GB"/>
        </w:rPr>
        <w:t>Nagalim</w:t>
      </w:r>
      <w:proofErr w:type="spellEnd"/>
      <w:r w:rsidRPr="001209DF">
        <w:rPr>
          <w:rFonts w:ascii="Arial" w:hAnsi="Arial" w:cs="Arial"/>
          <w:color w:val="000000" w:themeColor="text1"/>
          <w:sz w:val="20"/>
          <w:szCs w:val="20"/>
          <w:lang w:val="en-GB"/>
        </w:rPr>
        <w:t xml:space="preserve"> (NSCN) to represent the Naga peoples in the Unrepresented Peoples Organisations (UNPO). In 1998 the UN Commission on Human Rights allowed NSCN Chairman to address the 54</w:t>
      </w:r>
      <w:r w:rsidRPr="001209DF">
        <w:rPr>
          <w:rFonts w:ascii="Arial" w:hAnsi="Arial" w:cs="Arial"/>
          <w:color w:val="000000" w:themeColor="text1"/>
          <w:sz w:val="20"/>
          <w:szCs w:val="20"/>
          <w:vertAlign w:val="superscript"/>
          <w:lang w:val="en-GB"/>
        </w:rPr>
        <w:t>th</w:t>
      </w:r>
      <w:r w:rsidR="003C0B60" w:rsidRPr="001209DF">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 xml:space="preserve">session of its Assembly. NPMHR was central to the international mobilization for the release of NSCN leader </w:t>
      </w:r>
      <w:proofErr w:type="spellStart"/>
      <w:r w:rsidRPr="001209DF">
        <w:rPr>
          <w:rFonts w:ascii="Arial" w:hAnsi="Arial" w:cs="Arial"/>
          <w:color w:val="000000" w:themeColor="text1"/>
          <w:sz w:val="20"/>
          <w:szCs w:val="20"/>
          <w:lang w:val="en-GB"/>
        </w:rPr>
        <w:t>Th</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Muivah</w:t>
      </w:r>
      <w:proofErr w:type="spellEnd"/>
      <w:r w:rsidRPr="001209DF">
        <w:rPr>
          <w:rFonts w:ascii="Arial" w:hAnsi="Arial" w:cs="Arial"/>
          <w:color w:val="000000" w:themeColor="text1"/>
          <w:sz w:val="20"/>
          <w:szCs w:val="20"/>
          <w:lang w:val="en-GB"/>
        </w:rPr>
        <w:t xml:space="preserve"> arrested in Bangkok en-route for Indo-Naga talks because he was travelling on a false passport. An embarrassed Indian government eventually revoked </w:t>
      </w:r>
      <w:proofErr w:type="spellStart"/>
      <w:r w:rsidRPr="001209DF">
        <w:rPr>
          <w:rFonts w:ascii="Arial" w:hAnsi="Arial" w:cs="Arial"/>
          <w:color w:val="000000" w:themeColor="text1"/>
          <w:sz w:val="20"/>
          <w:szCs w:val="20"/>
          <w:lang w:val="en-GB"/>
        </w:rPr>
        <w:t>Luithui’s</w:t>
      </w:r>
      <w:proofErr w:type="spellEnd"/>
      <w:r w:rsidRPr="001209DF">
        <w:rPr>
          <w:rFonts w:ascii="Arial" w:hAnsi="Arial" w:cs="Arial"/>
          <w:color w:val="000000" w:themeColor="text1"/>
          <w:sz w:val="20"/>
          <w:szCs w:val="20"/>
          <w:lang w:val="en-GB"/>
        </w:rPr>
        <w:t xml:space="preserve"> passport forcing him into refugee exile in Canada. NPMHR remains a lead player in the Naga civil society sphere on promoting and protecting human rights and </w:t>
      </w:r>
      <w:r w:rsidR="009F4879" w:rsidRPr="001209DF">
        <w:rPr>
          <w:rFonts w:ascii="Arial" w:hAnsi="Arial" w:cs="Arial"/>
          <w:color w:val="000000" w:themeColor="text1"/>
          <w:sz w:val="20"/>
          <w:szCs w:val="20"/>
          <w:lang w:val="en-GB"/>
        </w:rPr>
        <w:t>peacebuilding</w:t>
      </w:r>
      <w:r w:rsidRPr="001209DF">
        <w:rPr>
          <w:rFonts w:ascii="Arial" w:hAnsi="Arial" w:cs="Arial"/>
          <w:color w:val="000000" w:themeColor="text1"/>
          <w:sz w:val="20"/>
          <w:szCs w:val="20"/>
          <w:lang w:val="en-GB"/>
        </w:rPr>
        <w:t xml:space="preserve">. Its current President is a woman, a sign of gender revolution taking place in a tribal society in which women have been debarred from public life.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3C0B60" w:rsidRPr="001209DF" w:rsidRDefault="00CB5AAB" w:rsidP="00001F6A">
      <w:pPr>
        <w:spacing w:after="0" w:line="240" w:lineRule="auto"/>
        <w:jc w:val="both"/>
        <w:rPr>
          <w:rFonts w:ascii="Arial" w:hAnsi="Arial" w:cs="Arial"/>
          <w:b/>
          <w:i/>
          <w:color w:val="000000" w:themeColor="text1"/>
          <w:sz w:val="20"/>
          <w:szCs w:val="20"/>
          <w:lang w:val="en-GB"/>
        </w:rPr>
      </w:pPr>
      <w:r w:rsidRPr="001209DF">
        <w:rPr>
          <w:rFonts w:ascii="Arial" w:hAnsi="Arial" w:cs="Arial"/>
          <w:color w:val="000000" w:themeColor="text1"/>
          <w:sz w:val="20"/>
          <w:szCs w:val="20"/>
          <w:u w:val="single"/>
          <w:lang w:val="en-GB"/>
        </w:rPr>
        <w:t>The Churches</w:t>
      </w: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Hugely influential in the Naga civil society sphere are the churches. More than 95 percent of </w:t>
      </w:r>
      <w:proofErr w:type="spellStart"/>
      <w:r w:rsidRPr="001209DF">
        <w:rPr>
          <w:rFonts w:ascii="Arial" w:hAnsi="Arial" w:cs="Arial"/>
          <w:color w:val="000000" w:themeColor="text1"/>
          <w:sz w:val="20"/>
          <w:szCs w:val="20"/>
          <w:lang w:val="en-GB"/>
        </w:rPr>
        <w:t>Nagas</w:t>
      </w:r>
      <w:proofErr w:type="spellEnd"/>
      <w:r w:rsidRPr="001209DF">
        <w:rPr>
          <w:rFonts w:ascii="Arial" w:hAnsi="Arial" w:cs="Arial"/>
          <w:color w:val="000000" w:themeColor="text1"/>
          <w:sz w:val="20"/>
          <w:szCs w:val="20"/>
          <w:lang w:val="en-GB"/>
        </w:rPr>
        <w:t xml:space="preserve"> are Christians and the Naga national movement announces its religio</w:t>
      </w:r>
      <w:r w:rsidR="003C0B60" w:rsidRPr="001209DF">
        <w:rPr>
          <w:rFonts w:ascii="Arial" w:hAnsi="Arial" w:cs="Arial"/>
          <w:color w:val="000000" w:themeColor="text1"/>
          <w:sz w:val="20"/>
          <w:szCs w:val="20"/>
          <w:lang w:val="en-GB"/>
        </w:rPr>
        <w:t>us</w:t>
      </w:r>
      <w:r w:rsidRPr="001209DF">
        <w:rPr>
          <w:rFonts w:ascii="Arial" w:hAnsi="Arial" w:cs="Arial"/>
          <w:color w:val="000000" w:themeColor="text1"/>
          <w:sz w:val="20"/>
          <w:szCs w:val="20"/>
          <w:lang w:val="en-GB"/>
        </w:rPr>
        <w:t xml:space="preserve">-political orientation as ‘Nagaland for Christ’. The international Baptist Church, in particular, was active in internationally highlighting the brutal military repression unleashed against the </w:t>
      </w:r>
      <w:proofErr w:type="spellStart"/>
      <w:r w:rsidRPr="001209DF">
        <w:rPr>
          <w:rFonts w:ascii="Arial" w:hAnsi="Arial" w:cs="Arial"/>
          <w:color w:val="000000" w:themeColor="text1"/>
          <w:sz w:val="20"/>
          <w:szCs w:val="20"/>
          <w:lang w:val="en-GB"/>
        </w:rPr>
        <w:t>Nagas</w:t>
      </w:r>
      <w:proofErr w:type="spellEnd"/>
      <w:r w:rsidRPr="001209DF">
        <w:rPr>
          <w:rFonts w:ascii="Arial" w:hAnsi="Arial" w:cs="Arial"/>
          <w:color w:val="000000" w:themeColor="text1"/>
          <w:sz w:val="20"/>
          <w:szCs w:val="20"/>
          <w:lang w:val="en-GB"/>
        </w:rPr>
        <w:t xml:space="preserve"> and in promoting negotiations for a political settlement. The Baptist Peace Mission in the 1960s was kept aloft by the commitment of Rev. Michael Scott but proved abortive and he was prevented from returning to India. The churches have continued to advocate unity amongst the warring tribal factions and worked for reconciliation. In the 1990s as factional violence peaked, the Council of Naga Baptist Churches made several efforts at convening a high-level summit of rival factions.  Just days prior to the conclusion of the Indo-Naga Ceasefire Agreement, the Baptist Peace Fellowship of North America convened a meeting in Atlanta of the Naga leaders to foster unity. The leaders of the dominant group, NSCN</w:t>
      </w:r>
      <w:r w:rsidR="003C0B60"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I</w:t>
      </w:r>
      <w:r w:rsidR="003C0B60" w:rsidRPr="001209DF">
        <w:rPr>
          <w:rFonts w:ascii="Arial" w:hAnsi="Arial" w:cs="Arial"/>
          <w:color w:val="000000" w:themeColor="text1"/>
          <w:sz w:val="20"/>
          <w:szCs w:val="20"/>
          <w:lang w:val="en-GB"/>
        </w:rPr>
        <w:t>M)</w:t>
      </w:r>
      <w:r w:rsidRPr="001209DF">
        <w:rPr>
          <w:rFonts w:ascii="Arial" w:hAnsi="Arial" w:cs="Arial"/>
          <w:color w:val="000000" w:themeColor="text1"/>
          <w:sz w:val="20"/>
          <w:szCs w:val="20"/>
          <w:lang w:val="en-GB"/>
        </w:rPr>
        <w:t xml:space="preserve">, did not attend. (In the polarized space of the armed struggle ‘Unity’, advocates were looked upon with suspicion as aiding the rival NSCN </w:t>
      </w:r>
      <w:proofErr w:type="spellStart"/>
      <w:r w:rsidRPr="001209DF">
        <w:rPr>
          <w:rFonts w:ascii="Arial" w:hAnsi="Arial" w:cs="Arial"/>
          <w:color w:val="000000" w:themeColor="text1"/>
          <w:sz w:val="20"/>
          <w:szCs w:val="20"/>
          <w:lang w:val="en-GB"/>
        </w:rPr>
        <w:t>Khaplang</w:t>
      </w:r>
      <w:proofErr w:type="spellEnd"/>
      <w:r w:rsidRPr="001209DF">
        <w:rPr>
          <w:rFonts w:ascii="Arial" w:hAnsi="Arial" w:cs="Arial"/>
          <w:color w:val="000000" w:themeColor="text1"/>
          <w:sz w:val="20"/>
          <w:szCs w:val="20"/>
          <w:lang w:val="en-GB"/>
        </w:rPr>
        <w:t xml:space="preserve"> camp.) Post ceasefire, the Nagaland Baptist church has continued its efforts at forging unity in partnership with Naga social organizations, through the recent initiative of the ‘Forum for Naga Reconciliation’, which has the been endorsed by Baptist World Alliance (Bangkok 2011)</w:t>
      </w:r>
      <w:r w:rsidR="003C0B60"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w:t>
      </w:r>
    </w:p>
    <w:p w:rsidR="00CB5AAB" w:rsidRPr="001209DF" w:rsidRDefault="00CB5AAB" w:rsidP="00001F6A">
      <w:pPr>
        <w:spacing w:after="0" w:line="240" w:lineRule="auto"/>
        <w:jc w:val="both"/>
        <w:rPr>
          <w:rFonts w:ascii="Arial" w:hAnsi="Arial" w:cs="Arial"/>
          <w:b/>
          <w:color w:val="000000" w:themeColor="text1"/>
          <w:sz w:val="20"/>
          <w:szCs w:val="20"/>
          <w:lang w:val="en-GB"/>
        </w:rPr>
      </w:pPr>
    </w:p>
    <w:p w:rsidR="00CB5AAB" w:rsidRPr="001209DF" w:rsidRDefault="00CB5AAB" w:rsidP="00001F6A">
      <w:pPr>
        <w:pStyle w:val="ListParagraph"/>
        <w:numPr>
          <w:ilvl w:val="0"/>
          <w:numId w:val="6"/>
        </w:numPr>
        <w:spacing w:after="0" w:line="240" w:lineRule="auto"/>
        <w:ind w:left="567" w:hanging="283"/>
        <w:contextualSpacing w:val="0"/>
        <w:jc w:val="both"/>
        <w:rPr>
          <w:rFonts w:ascii="Arial" w:hAnsi="Arial" w:cs="Arial"/>
          <w:b/>
          <w:color w:val="000000" w:themeColor="text1"/>
          <w:sz w:val="20"/>
          <w:szCs w:val="20"/>
          <w:lang w:val="en-GB"/>
        </w:rPr>
      </w:pPr>
      <w:r w:rsidRPr="001209DF">
        <w:rPr>
          <w:rFonts w:ascii="Arial" w:hAnsi="Arial" w:cs="Arial"/>
          <w:b/>
          <w:color w:val="000000" w:themeColor="text1"/>
          <w:sz w:val="20"/>
          <w:szCs w:val="20"/>
          <w:lang w:val="en-GB"/>
        </w:rPr>
        <w:t xml:space="preserve">Sustaining Ceasefires  </w:t>
      </w:r>
    </w:p>
    <w:p w:rsidR="00CB5AAB" w:rsidRPr="001209DF" w:rsidRDefault="00CB5AAB" w:rsidP="00001F6A">
      <w:pPr>
        <w:spacing w:after="0" w:line="240" w:lineRule="auto"/>
        <w:jc w:val="both"/>
        <w:rPr>
          <w:rFonts w:ascii="Arial" w:hAnsi="Arial" w:cs="Arial"/>
          <w:b/>
          <w:i/>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u w:val="single"/>
          <w:lang w:val="en-GB"/>
        </w:rPr>
      </w:pPr>
      <w:r w:rsidRPr="001209DF">
        <w:rPr>
          <w:rFonts w:ascii="Arial" w:hAnsi="Arial" w:cs="Arial"/>
          <w:color w:val="000000" w:themeColor="text1"/>
          <w:sz w:val="20"/>
          <w:szCs w:val="20"/>
          <w:u w:val="single"/>
          <w:lang w:val="en-GB"/>
        </w:rPr>
        <w:t xml:space="preserve">Monitoring Violations </w:t>
      </w: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w:t>
      </w:r>
      <w:r w:rsidRPr="001209DF">
        <w:rPr>
          <w:rFonts w:ascii="Arial" w:hAnsi="Arial" w:cs="Arial"/>
          <w:i/>
          <w:color w:val="000000" w:themeColor="text1"/>
          <w:sz w:val="20"/>
          <w:szCs w:val="20"/>
          <w:lang w:val="en-GB"/>
        </w:rPr>
        <w:t>Both sides can decide to break the ceasefire. But for whom are they talking? We’re all stakeholders in the process</w:t>
      </w:r>
      <w:r w:rsidRPr="001209DF">
        <w:rPr>
          <w:rFonts w:ascii="Arial" w:hAnsi="Arial" w:cs="Arial"/>
          <w:color w:val="000000" w:themeColor="text1"/>
          <w:sz w:val="20"/>
          <w:szCs w:val="20"/>
          <w:lang w:val="en-GB"/>
        </w:rPr>
        <w:t xml:space="preserve">” </w:t>
      </w:r>
      <w:r w:rsidR="003C0B60" w:rsidRPr="001209DF">
        <w:rPr>
          <w:rFonts w:ascii="Arial" w:hAnsi="Arial" w:cs="Arial"/>
          <w:color w:val="000000" w:themeColor="text1"/>
          <w:sz w:val="20"/>
          <w:szCs w:val="20"/>
          <w:lang w:val="en-GB"/>
        </w:rPr>
        <w:t>(</w:t>
      </w:r>
      <w:proofErr w:type="spellStart"/>
      <w:r w:rsidRPr="001209DF">
        <w:rPr>
          <w:rFonts w:ascii="Arial" w:hAnsi="Arial" w:cs="Arial"/>
          <w:color w:val="000000" w:themeColor="text1"/>
          <w:sz w:val="20"/>
          <w:szCs w:val="20"/>
          <w:lang w:val="en-GB"/>
        </w:rPr>
        <w:t>Neidonuo</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Angami</w:t>
      </w:r>
      <w:proofErr w:type="spellEnd"/>
      <w:r w:rsidRPr="001209DF">
        <w:rPr>
          <w:rFonts w:ascii="Arial" w:hAnsi="Arial" w:cs="Arial"/>
          <w:color w:val="000000" w:themeColor="text1"/>
          <w:sz w:val="20"/>
          <w:szCs w:val="20"/>
          <w:lang w:val="en-GB"/>
        </w:rPr>
        <w:t xml:space="preserve">, President </w:t>
      </w:r>
      <w:r w:rsidR="003C0B60" w:rsidRPr="001209DF">
        <w:rPr>
          <w:rFonts w:ascii="Arial" w:hAnsi="Arial" w:cs="Arial"/>
          <w:color w:val="000000" w:themeColor="text1"/>
          <w:sz w:val="20"/>
          <w:szCs w:val="20"/>
          <w:lang w:val="en-GB"/>
        </w:rPr>
        <w:t>of Naga Mothers Association –</w:t>
      </w:r>
      <w:r w:rsidRPr="001209DF">
        <w:rPr>
          <w:rFonts w:ascii="Arial" w:hAnsi="Arial" w:cs="Arial"/>
          <w:color w:val="000000" w:themeColor="text1"/>
          <w:sz w:val="20"/>
          <w:szCs w:val="20"/>
          <w:lang w:val="en-GB"/>
        </w:rPr>
        <w:t>NMA</w:t>
      </w:r>
      <w:r w:rsidR="003C0B60"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Negotiating a </w:t>
      </w:r>
      <w:r w:rsidR="003C0B60" w:rsidRPr="001209DF">
        <w:rPr>
          <w:rFonts w:ascii="Arial" w:hAnsi="Arial" w:cs="Arial"/>
          <w:color w:val="000000" w:themeColor="text1"/>
          <w:sz w:val="20"/>
          <w:szCs w:val="20"/>
          <w:lang w:val="en-GB"/>
        </w:rPr>
        <w:t>c</w:t>
      </w:r>
      <w:r w:rsidRPr="001209DF">
        <w:rPr>
          <w:rFonts w:ascii="Arial" w:hAnsi="Arial" w:cs="Arial"/>
          <w:color w:val="000000" w:themeColor="text1"/>
          <w:sz w:val="20"/>
          <w:szCs w:val="20"/>
          <w:lang w:val="en-GB"/>
        </w:rPr>
        <w:t>easefire are armed parties working out rules of their disengagement and monitoring mechanisms as in the Indo-Naga Ceasefire Agreement. The Ground Rules did not address civilian security or consider that effective monitoring especially in an asymmetric accord required civil society representatives to be integrated in official monitoring mechanisms. Naga civil society organisations constituted a 22</w:t>
      </w:r>
      <w:r w:rsidR="003C0B60"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member civil society Action Committee to independently monitor the ceasefire and lobbied for change in Ground Rules and the monitoring mechanism. Eventually the amended Ceasefire Ground Rules (2001) included sensitivity to civilian security concerns, i.e. guarding against injury to civilians </w:t>
      </w:r>
      <w:r w:rsidR="00EF2EEC">
        <w:rPr>
          <w:rFonts w:ascii="Arial" w:hAnsi="Arial" w:cs="Arial"/>
          <w:color w:val="000000" w:themeColor="text1"/>
          <w:sz w:val="20"/>
          <w:szCs w:val="20"/>
          <w:lang w:val="en-GB"/>
        </w:rPr>
        <w:t xml:space="preserve">and </w:t>
      </w:r>
      <w:r w:rsidRPr="001209DF">
        <w:rPr>
          <w:rFonts w:ascii="Arial" w:hAnsi="Arial" w:cs="Arial"/>
          <w:color w:val="000000" w:themeColor="text1"/>
          <w:sz w:val="20"/>
          <w:szCs w:val="20"/>
          <w:lang w:val="en-GB"/>
        </w:rPr>
        <w:t xml:space="preserve">damage to civilian property. Both the GOI and the NSCN agreed to include civil society monitors but of their choice, and not that of </w:t>
      </w:r>
      <w:r w:rsidR="00EF2EEC">
        <w:rPr>
          <w:rFonts w:ascii="Arial" w:hAnsi="Arial" w:cs="Arial"/>
          <w:color w:val="000000" w:themeColor="text1"/>
          <w:sz w:val="20"/>
          <w:szCs w:val="20"/>
          <w:lang w:val="en-GB"/>
        </w:rPr>
        <w:t>autonomous</w:t>
      </w:r>
      <w:r w:rsidRPr="001209DF">
        <w:rPr>
          <w:rFonts w:ascii="Arial" w:hAnsi="Arial" w:cs="Arial"/>
          <w:color w:val="000000" w:themeColor="text1"/>
          <w:sz w:val="20"/>
          <w:szCs w:val="20"/>
          <w:lang w:val="en-GB"/>
        </w:rPr>
        <w:t xml:space="preserve"> civil society groups. It stymied the process. </w:t>
      </w:r>
    </w:p>
    <w:p w:rsidR="00CB5AAB" w:rsidRPr="001209DF" w:rsidRDefault="00CB5AAB" w:rsidP="00001F6A">
      <w:pPr>
        <w:spacing w:after="0" w:line="240" w:lineRule="auto"/>
        <w:jc w:val="both"/>
        <w:rPr>
          <w:rFonts w:ascii="Arial" w:hAnsi="Arial" w:cs="Arial"/>
          <w:b/>
          <w:i/>
          <w:color w:val="000000" w:themeColor="text1"/>
          <w:sz w:val="20"/>
          <w:szCs w:val="20"/>
          <w:lang w:val="en-GB"/>
        </w:rPr>
      </w:pPr>
    </w:p>
    <w:p w:rsidR="00CB5AAB" w:rsidRPr="001209DF" w:rsidRDefault="00EF2EEC" w:rsidP="00001F6A">
      <w:pPr>
        <w:spacing w:after="0" w:line="240" w:lineRule="auto"/>
        <w:jc w:val="both"/>
        <w:rPr>
          <w:rFonts w:ascii="Arial" w:hAnsi="Arial" w:cs="Arial"/>
          <w:color w:val="000000" w:themeColor="text1"/>
          <w:sz w:val="20"/>
          <w:szCs w:val="20"/>
          <w:u w:val="single"/>
          <w:lang w:val="en-GB"/>
        </w:rPr>
      </w:pPr>
      <w:r>
        <w:rPr>
          <w:rFonts w:ascii="Arial" w:hAnsi="Arial" w:cs="Arial"/>
          <w:color w:val="000000" w:themeColor="text1"/>
          <w:sz w:val="20"/>
          <w:szCs w:val="20"/>
          <w:u w:val="single"/>
          <w:lang w:val="en-GB"/>
        </w:rPr>
        <w:t xml:space="preserve">Mothers’ Front - </w:t>
      </w:r>
      <w:r w:rsidR="00CB5AAB" w:rsidRPr="001209DF">
        <w:rPr>
          <w:rFonts w:ascii="Arial" w:hAnsi="Arial" w:cs="Arial"/>
          <w:color w:val="000000" w:themeColor="text1"/>
          <w:sz w:val="20"/>
          <w:szCs w:val="20"/>
          <w:u w:val="single"/>
          <w:lang w:val="en-GB"/>
        </w:rPr>
        <w:t xml:space="preserve">Keeping the Peace  </w:t>
      </w: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w:t>
      </w:r>
      <w:r w:rsidRPr="001209DF">
        <w:rPr>
          <w:rFonts w:ascii="Arial" w:hAnsi="Arial" w:cs="Arial"/>
          <w:i/>
          <w:color w:val="000000" w:themeColor="text1"/>
          <w:sz w:val="20"/>
          <w:szCs w:val="20"/>
          <w:lang w:val="en-GB"/>
        </w:rPr>
        <w:t>Listen to your mother before you kill your brother</w:t>
      </w:r>
      <w:r w:rsidRPr="001209DF">
        <w:rPr>
          <w:rFonts w:ascii="Arial" w:hAnsi="Arial" w:cs="Arial"/>
          <w:color w:val="000000" w:themeColor="text1"/>
          <w:sz w:val="20"/>
          <w:szCs w:val="20"/>
          <w:lang w:val="en-GB"/>
        </w:rPr>
        <w:t xml:space="preserve">” </w:t>
      </w:r>
      <w:r w:rsidR="00EE2A7B" w:rsidRPr="001209DF">
        <w:rPr>
          <w:rFonts w:ascii="Arial" w:hAnsi="Arial" w:cs="Arial"/>
          <w:color w:val="000000" w:themeColor="text1"/>
          <w:sz w:val="20"/>
          <w:szCs w:val="20"/>
          <w:lang w:val="en-GB"/>
        </w:rPr>
        <w:t>(</w:t>
      </w:r>
      <w:proofErr w:type="spellStart"/>
      <w:r w:rsidRPr="001209DF">
        <w:rPr>
          <w:rFonts w:ascii="Arial" w:hAnsi="Arial" w:cs="Arial"/>
          <w:color w:val="000000" w:themeColor="text1"/>
          <w:sz w:val="20"/>
          <w:szCs w:val="20"/>
          <w:lang w:val="en-GB"/>
        </w:rPr>
        <w:t>Neidonuo</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Angami</w:t>
      </w:r>
      <w:proofErr w:type="spellEnd"/>
      <w:r w:rsidRPr="001209DF">
        <w:rPr>
          <w:rFonts w:ascii="Arial" w:hAnsi="Arial" w:cs="Arial"/>
          <w:color w:val="000000" w:themeColor="text1"/>
          <w:sz w:val="20"/>
          <w:szCs w:val="20"/>
          <w:lang w:val="en-GB"/>
        </w:rPr>
        <w:t>, President NMA</w:t>
      </w:r>
      <w:r w:rsidR="00EE2A7B"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w:t>
      </w:r>
    </w:p>
    <w:p w:rsidR="00CB5AAB" w:rsidRPr="001209DF" w:rsidRDefault="00CB5AAB" w:rsidP="00001F6A">
      <w:pPr>
        <w:spacing w:after="0" w:line="240" w:lineRule="auto"/>
        <w:jc w:val="both"/>
        <w:rPr>
          <w:rFonts w:ascii="Arial" w:hAnsi="Arial" w:cs="Arial"/>
          <w:b/>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Narratives of history of the Naga conflict and peace process are strewn with incidents of the local women bodies stepping forward and defusing tension vis-à-vis the security forces and between rival armed factions.</w:t>
      </w:r>
      <w:r w:rsidRPr="001209DF">
        <w:rPr>
          <w:rStyle w:val="FootnoteReference"/>
          <w:rFonts w:ascii="Arial" w:hAnsi="Arial" w:cs="Arial"/>
          <w:color w:val="000000" w:themeColor="text1"/>
          <w:sz w:val="20"/>
          <w:szCs w:val="20"/>
          <w:lang w:val="en-GB"/>
        </w:rPr>
        <w:footnoteReference w:id="18"/>
      </w:r>
      <w:r w:rsidRPr="001209DF">
        <w:rPr>
          <w:rFonts w:ascii="Arial" w:hAnsi="Arial" w:cs="Arial"/>
          <w:color w:val="000000" w:themeColor="text1"/>
          <w:sz w:val="20"/>
          <w:szCs w:val="20"/>
          <w:lang w:val="en-GB"/>
        </w:rPr>
        <w:t xml:space="preserve"> Naga women’s associations, especially apex bodies </w:t>
      </w:r>
      <w:r w:rsidR="00EE2A7B"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Naga Mothers Association and Naga Women’s Union, Manipur</w:t>
      </w:r>
      <w:r w:rsidR="00EE2A7B"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have kept open the channel of communicat</w:t>
      </w:r>
      <w:r w:rsidR="00EE2A7B" w:rsidRPr="001209DF">
        <w:rPr>
          <w:rFonts w:ascii="Arial" w:hAnsi="Arial" w:cs="Arial"/>
          <w:color w:val="000000" w:themeColor="text1"/>
          <w:sz w:val="20"/>
          <w:szCs w:val="20"/>
          <w:lang w:val="en-GB"/>
        </w:rPr>
        <w:t>ion between warring groups. For instance:</w:t>
      </w:r>
    </w:p>
    <w:p w:rsidR="00CB5AAB" w:rsidRPr="001209DF" w:rsidRDefault="00EE2A7B" w:rsidP="00001F6A">
      <w:pPr>
        <w:pStyle w:val="ListParagraph"/>
        <w:numPr>
          <w:ilvl w:val="0"/>
          <w:numId w:val="5"/>
        </w:numPr>
        <w:spacing w:after="0" w:line="240" w:lineRule="auto"/>
        <w:contextualSpacing w:val="0"/>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In </w:t>
      </w:r>
      <w:r w:rsidR="00CB5AAB" w:rsidRPr="001209DF">
        <w:rPr>
          <w:rFonts w:ascii="Arial" w:hAnsi="Arial" w:cs="Arial"/>
          <w:color w:val="000000" w:themeColor="text1"/>
          <w:sz w:val="20"/>
          <w:szCs w:val="20"/>
          <w:lang w:val="en-GB"/>
        </w:rPr>
        <w:t>1994</w:t>
      </w:r>
      <w:r w:rsidR="00CB5AAB" w:rsidRPr="001209DF">
        <w:rPr>
          <w:rFonts w:ascii="Arial" w:hAnsi="Arial" w:cs="Arial"/>
          <w:i/>
          <w:color w:val="000000" w:themeColor="text1"/>
          <w:sz w:val="20"/>
          <w:szCs w:val="20"/>
          <w:lang w:val="en-GB"/>
        </w:rPr>
        <w:t xml:space="preserve"> </w:t>
      </w:r>
      <w:r w:rsidR="00CB5AAB" w:rsidRPr="001209DF">
        <w:rPr>
          <w:rFonts w:ascii="Arial" w:hAnsi="Arial" w:cs="Arial"/>
          <w:color w:val="000000" w:themeColor="text1"/>
          <w:sz w:val="20"/>
          <w:szCs w:val="20"/>
          <w:lang w:val="en-GB"/>
        </w:rPr>
        <w:t xml:space="preserve">Naga Mothers Association </w:t>
      </w:r>
      <w:r w:rsidRPr="001209DF">
        <w:rPr>
          <w:rFonts w:ascii="Arial" w:hAnsi="Arial" w:cs="Arial"/>
          <w:color w:val="000000" w:themeColor="text1"/>
          <w:sz w:val="20"/>
          <w:szCs w:val="20"/>
          <w:lang w:val="en-GB"/>
        </w:rPr>
        <w:t xml:space="preserve">(NMA) </w:t>
      </w:r>
      <w:r w:rsidR="00CB5AAB" w:rsidRPr="001209DF">
        <w:rPr>
          <w:rFonts w:ascii="Arial" w:hAnsi="Arial" w:cs="Arial"/>
          <w:color w:val="000000" w:themeColor="text1"/>
          <w:sz w:val="20"/>
          <w:szCs w:val="20"/>
          <w:lang w:val="en-GB"/>
        </w:rPr>
        <w:t>launched a “Stop All Bloodshed” campaign with non-partisan “Peace Teams” fanning out to the district headquarters to urge an end to the violence, reaching out to the tribal segregated factions. Spiral</w:t>
      </w:r>
      <w:r w:rsidRPr="001209DF">
        <w:rPr>
          <w:rFonts w:ascii="Arial" w:hAnsi="Arial" w:cs="Arial"/>
          <w:color w:val="000000" w:themeColor="text1"/>
          <w:sz w:val="20"/>
          <w:szCs w:val="20"/>
          <w:lang w:val="en-GB"/>
        </w:rPr>
        <w:t>l</w:t>
      </w:r>
      <w:r w:rsidR="00CB5AAB" w:rsidRPr="001209DF">
        <w:rPr>
          <w:rFonts w:ascii="Arial" w:hAnsi="Arial" w:cs="Arial"/>
          <w:color w:val="000000" w:themeColor="text1"/>
          <w:sz w:val="20"/>
          <w:szCs w:val="20"/>
          <w:lang w:val="en-GB"/>
        </w:rPr>
        <w:t xml:space="preserve">ing fratricidal violence in </w:t>
      </w:r>
      <w:r w:rsidRPr="001209DF">
        <w:rPr>
          <w:rFonts w:ascii="Arial" w:hAnsi="Arial" w:cs="Arial"/>
          <w:color w:val="000000" w:themeColor="text1"/>
          <w:sz w:val="20"/>
          <w:szCs w:val="20"/>
          <w:lang w:val="en-GB"/>
        </w:rPr>
        <w:t xml:space="preserve">the </w:t>
      </w:r>
      <w:r w:rsidR="00CB5AAB" w:rsidRPr="001209DF">
        <w:rPr>
          <w:rFonts w:ascii="Arial" w:hAnsi="Arial" w:cs="Arial"/>
          <w:color w:val="000000" w:themeColor="text1"/>
          <w:sz w:val="20"/>
          <w:szCs w:val="20"/>
          <w:lang w:val="en-GB"/>
        </w:rPr>
        <w:t>1990s pushed the welfare-oriented Naga women’s organization into peace work. Post ceasefire NMA continues to be involved in defusing inter-factional tension and facilitating direct and indirect dialogues between the NSCN factions and top leaders. GOI had negotiated a Ceasefire Agreement with only the most dominant faction, the NSCN</w:t>
      </w:r>
      <w:r w:rsidRPr="001209DF">
        <w:rPr>
          <w:rFonts w:ascii="Arial" w:hAnsi="Arial" w:cs="Arial"/>
          <w:color w:val="000000" w:themeColor="text1"/>
          <w:sz w:val="20"/>
          <w:szCs w:val="20"/>
          <w:lang w:val="en-GB"/>
        </w:rPr>
        <w:t>-IM;</w:t>
      </w:r>
      <w:r w:rsidR="00CB5AAB" w:rsidRPr="001209DF">
        <w:rPr>
          <w:rFonts w:ascii="Arial" w:hAnsi="Arial" w:cs="Arial"/>
          <w:color w:val="000000" w:themeColor="text1"/>
          <w:sz w:val="20"/>
          <w:szCs w:val="20"/>
          <w:lang w:val="en-GB"/>
        </w:rPr>
        <w:t xml:space="preserve"> left out was the NSCN </w:t>
      </w:r>
      <w:proofErr w:type="spellStart"/>
      <w:r w:rsidR="00CB5AAB" w:rsidRPr="001209DF">
        <w:rPr>
          <w:rFonts w:ascii="Arial" w:hAnsi="Arial" w:cs="Arial"/>
          <w:color w:val="000000" w:themeColor="text1"/>
          <w:sz w:val="20"/>
          <w:szCs w:val="20"/>
          <w:lang w:val="en-GB"/>
        </w:rPr>
        <w:t>Khaplang</w:t>
      </w:r>
      <w:proofErr w:type="spellEnd"/>
      <w:r w:rsidR="00CB5AAB" w:rsidRPr="001209DF">
        <w:rPr>
          <w:rFonts w:ascii="Arial" w:hAnsi="Arial" w:cs="Arial"/>
          <w:color w:val="000000" w:themeColor="text1"/>
          <w:sz w:val="20"/>
          <w:szCs w:val="20"/>
          <w:lang w:val="en-GB"/>
        </w:rPr>
        <w:t>.</w:t>
      </w:r>
      <w:r w:rsidR="00CB5AAB" w:rsidRPr="001209DF">
        <w:rPr>
          <w:rStyle w:val="FootnoteReference"/>
          <w:rFonts w:ascii="Arial" w:hAnsi="Arial" w:cs="Arial"/>
          <w:color w:val="000000" w:themeColor="text1"/>
          <w:sz w:val="20"/>
          <w:szCs w:val="20"/>
          <w:lang w:val="en-GB"/>
        </w:rPr>
        <w:footnoteReference w:id="19"/>
      </w:r>
      <w:r w:rsidR="00CB5AAB" w:rsidRPr="001209DF">
        <w:rPr>
          <w:rFonts w:ascii="Arial" w:hAnsi="Arial" w:cs="Arial"/>
          <w:color w:val="000000" w:themeColor="text1"/>
          <w:sz w:val="20"/>
          <w:szCs w:val="20"/>
          <w:lang w:val="en-GB"/>
        </w:rPr>
        <w:t xml:space="preserve"> In 1999, four representatives of the women’s organisations trekked across Myanmar border and met S. S. </w:t>
      </w:r>
      <w:proofErr w:type="spellStart"/>
      <w:r w:rsidR="00CB5AAB" w:rsidRPr="001209DF">
        <w:rPr>
          <w:rFonts w:ascii="Arial" w:hAnsi="Arial" w:cs="Arial"/>
          <w:color w:val="000000" w:themeColor="text1"/>
          <w:sz w:val="20"/>
          <w:szCs w:val="20"/>
          <w:lang w:val="en-GB"/>
        </w:rPr>
        <w:t>Khaplang</w:t>
      </w:r>
      <w:proofErr w:type="spellEnd"/>
      <w:r w:rsidR="00CB5AAB" w:rsidRPr="001209DF">
        <w:rPr>
          <w:rFonts w:ascii="Arial" w:hAnsi="Arial" w:cs="Arial"/>
          <w:color w:val="000000" w:themeColor="text1"/>
          <w:sz w:val="20"/>
          <w:szCs w:val="20"/>
          <w:lang w:val="en-GB"/>
        </w:rPr>
        <w:t xml:space="preserve"> at his headquarters to advocate an intra</w:t>
      </w:r>
      <w:r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 xml:space="preserve">Naga ceasefire. On their return, the women briefed 16 top IM group leaders. Naga women who were traditionally not trusted to carry important messages became trusted interlocutors. The women work in alliance with other civil society associations –Naga Students Federation and Naga Ho </w:t>
      </w:r>
      <w:proofErr w:type="spellStart"/>
      <w:r w:rsidR="00CB5AAB"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sym w:font="Symbol" w:char="F02D"/>
      </w:r>
      <w:r w:rsidR="00CB5AAB" w:rsidRPr="001209DF">
        <w:rPr>
          <w:rFonts w:ascii="Arial" w:hAnsi="Arial" w:cs="Arial"/>
          <w:color w:val="000000" w:themeColor="text1"/>
          <w:sz w:val="20"/>
          <w:szCs w:val="20"/>
          <w:lang w:val="en-GB"/>
        </w:rPr>
        <w:t xml:space="preserve"> to keep the channels of communication open.  </w:t>
      </w:r>
    </w:p>
    <w:p w:rsidR="00CB5AAB" w:rsidRPr="001209DF" w:rsidRDefault="00EE2A7B" w:rsidP="00001F6A">
      <w:pPr>
        <w:pStyle w:val="ListParagraph"/>
        <w:numPr>
          <w:ilvl w:val="0"/>
          <w:numId w:val="5"/>
        </w:numPr>
        <w:spacing w:after="0" w:line="240" w:lineRule="auto"/>
        <w:contextualSpacing w:val="0"/>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In </w:t>
      </w:r>
      <w:r w:rsidR="00CB5AAB" w:rsidRPr="001209DF">
        <w:rPr>
          <w:rFonts w:ascii="Arial" w:hAnsi="Arial" w:cs="Arial"/>
          <w:color w:val="000000" w:themeColor="text1"/>
          <w:sz w:val="20"/>
          <w:szCs w:val="20"/>
          <w:lang w:val="en-GB"/>
        </w:rPr>
        <w:t xml:space="preserve">2009 </w:t>
      </w:r>
      <w:r w:rsidRPr="001209DF">
        <w:rPr>
          <w:rFonts w:ascii="Arial" w:hAnsi="Arial" w:cs="Arial"/>
          <w:color w:val="000000" w:themeColor="text1"/>
          <w:sz w:val="20"/>
          <w:szCs w:val="20"/>
          <w:lang w:val="en-GB"/>
        </w:rPr>
        <w:t xml:space="preserve">in </w:t>
      </w:r>
      <w:proofErr w:type="spellStart"/>
      <w:r w:rsidR="00CB5AAB" w:rsidRPr="001209DF">
        <w:rPr>
          <w:rFonts w:ascii="Arial" w:hAnsi="Arial" w:cs="Arial"/>
          <w:color w:val="000000" w:themeColor="text1"/>
          <w:sz w:val="20"/>
          <w:szCs w:val="20"/>
          <w:lang w:val="en-GB"/>
        </w:rPr>
        <w:t>Shirui</w:t>
      </w:r>
      <w:proofErr w:type="spellEnd"/>
      <w:r w:rsidR="00CB5AAB" w:rsidRPr="001209DF">
        <w:rPr>
          <w:rFonts w:ascii="Arial" w:hAnsi="Arial" w:cs="Arial"/>
          <w:color w:val="000000" w:themeColor="text1"/>
          <w:sz w:val="20"/>
          <w:szCs w:val="20"/>
          <w:lang w:val="en-GB"/>
        </w:rPr>
        <w:t xml:space="preserve"> village, Manipur (technically the ceasefire does not extend outside Nagaland)</w:t>
      </w:r>
      <w:r w:rsidRPr="001209DF">
        <w:rPr>
          <w:rFonts w:ascii="Arial" w:hAnsi="Arial" w:cs="Arial"/>
          <w:color w:val="000000" w:themeColor="text1"/>
          <w:sz w:val="20"/>
          <w:szCs w:val="20"/>
          <w:lang w:val="en-GB"/>
        </w:rPr>
        <w:t>: a</w:t>
      </w:r>
      <w:r w:rsidR="00CB5AAB" w:rsidRPr="001209DF">
        <w:rPr>
          <w:rFonts w:ascii="Arial" w:hAnsi="Arial" w:cs="Arial"/>
          <w:color w:val="000000" w:themeColor="text1"/>
          <w:sz w:val="20"/>
          <w:szCs w:val="20"/>
          <w:lang w:val="en-GB"/>
        </w:rPr>
        <w:t>s hundreds of Indian paramilitary troops laid siege to the camp of NSCN</w:t>
      </w:r>
      <w:r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IM armed cadres, trapping thousands of civilians in between, Naga women from adjoin</w:t>
      </w:r>
      <w:r w:rsidRPr="001209DF">
        <w:rPr>
          <w:rFonts w:ascii="Arial" w:hAnsi="Arial" w:cs="Arial"/>
          <w:color w:val="000000" w:themeColor="text1"/>
          <w:sz w:val="20"/>
          <w:szCs w:val="20"/>
          <w:lang w:val="en-GB"/>
        </w:rPr>
        <w:t>in</w:t>
      </w:r>
      <w:r w:rsidR="00CB5AAB" w:rsidRPr="001209DF">
        <w:rPr>
          <w:rFonts w:ascii="Arial" w:hAnsi="Arial" w:cs="Arial"/>
          <w:color w:val="000000" w:themeColor="text1"/>
          <w:sz w:val="20"/>
          <w:szCs w:val="20"/>
          <w:lang w:val="en-GB"/>
        </w:rPr>
        <w:t>g villages staged a “sit</w:t>
      </w:r>
      <w:r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in” for 15 days and eventually averted the violence. “We’re just doing our job as peace keepers,” the women told the commanding officer.</w:t>
      </w:r>
    </w:p>
    <w:p w:rsidR="00CB5AAB" w:rsidRPr="001209DF" w:rsidRDefault="00EE2A7B" w:rsidP="00001F6A">
      <w:pPr>
        <w:pStyle w:val="ListParagraph"/>
        <w:numPr>
          <w:ilvl w:val="0"/>
          <w:numId w:val="5"/>
        </w:numPr>
        <w:spacing w:after="0" w:line="240" w:lineRule="auto"/>
        <w:contextualSpacing w:val="0"/>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In </w:t>
      </w:r>
      <w:r w:rsidR="00CB5AAB" w:rsidRPr="001209DF">
        <w:rPr>
          <w:rFonts w:ascii="Arial" w:hAnsi="Arial" w:cs="Arial"/>
          <w:color w:val="000000" w:themeColor="text1"/>
          <w:sz w:val="20"/>
          <w:szCs w:val="20"/>
          <w:lang w:val="en-GB"/>
        </w:rPr>
        <w:t xml:space="preserve">2015 </w:t>
      </w:r>
      <w:r w:rsidRPr="001209DF">
        <w:rPr>
          <w:rFonts w:ascii="Arial" w:hAnsi="Arial" w:cs="Arial"/>
          <w:color w:val="000000" w:themeColor="text1"/>
          <w:sz w:val="20"/>
          <w:szCs w:val="20"/>
          <w:lang w:val="en-GB"/>
        </w:rPr>
        <w:t xml:space="preserve">in </w:t>
      </w:r>
      <w:proofErr w:type="spellStart"/>
      <w:r w:rsidR="00CB5AAB" w:rsidRPr="001209DF">
        <w:rPr>
          <w:rFonts w:ascii="Arial" w:hAnsi="Arial" w:cs="Arial"/>
          <w:color w:val="000000" w:themeColor="text1"/>
          <w:sz w:val="20"/>
          <w:szCs w:val="20"/>
          <w:lang w:val="en-GB"/>
        </w:rPr>
        <w:t>Dimapur</w:t>
      </w:r>
      <w:proofErr w:type="spellEnd"/>
      <w:r w:rsidR="00CB5AAB" w:rsidRPr="001209DF">
        <w:rPr>
          <w:rFonts w:ascii="Arial" w:hAnsi="Arial" w:cs="Arial"/>
          <w:color w:val="000000" w:themeColor="text1"/>
          <w:sz w:val="20"/>
          <w:szCs w:val="20"/>
          <w:lang w:val="en-GB"/>
        </w:rPr>
        <w:t>, Nagaland</w:t>
      </w:r>
      <w:r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m</w:t>
      </w:r>
      <w:r w:rsidR="00CB5AAB" w:rsidRPr="001209DF">
        <w:rPr>
          <w:rFonts w:ascii="Arial" w:hAnsi="Arial" w:cs="Arial"/>
          <w:color w:val="000000" w:themeColor="text1"/>
          <w:sz w:val="20"/>
          <w:szCs w:val="20"/>
          <w:lang w:val="en-GB"/>
        </w:rPr>
        <w:t xml:space="preserve">ore than a hundred women from </w:t>
      </w:r>
      <w:proofErr w:type="spellStart"/>
      <w:r w:rsidR="00CB5AAB" w:rsidRPr="001209DF">
        <w:rPr>
          <w:rFonts w:ascii="Arial" w:hAnsi="Arial" w:cs="Arial"/>
          <w:color w:val="000000" w:themeColor="text1"/>
          <w:sz w:val="20"/>
          <w:szCs w:val="20"/>
          <w:lang w:val="en-GB"/>
        </w:rPr>
        <w:t>Beisupuikam</w:t>
      </w:r>
      <w:proofErr w:type="spellEnd"/>
      <w:r w:rsidR="00CB5AAB" w:rsidRPr="001209DF">
        <w:rPr>
          <w:rFonts w:ascii="Arial" w:hAnsi="Arial" w:cs="Arial"/>
          <w:color w:val="000000" w:themeColor="text1"/>
          <w:sz w:val="20"/>
          <w:szCs w:val="20"/>
          <w:lang w:val="en-GB"/>
        </w:rPr>
        <w:t xml:space="preserve"> village barricaded a road leading to Hebron the h</w:t>
      </w:r>
      <w:r w:rsidRPr="001209DF">
        <w:rPr>
          <w:rFonts w:ascii="Arial" w:hAnsi="Arial" w:cs="Arial"/>
          <w:color w:val="000000" w:themeColor="text1"/>
          <w:sz w:val="20"/>
          <w:szCs w:val="20"/>
          <w:lang w:val="en-GB"/>
        </w:rPr>
        <w:t>ead</w:t>
      </w:r>
      <w:r w:rsidR="00CB5AAB" w:rsidRPr="001209DF">
        <w:rPr>
          <w:rFonts w:ascii="Arial" w:hAnsi="Arial" w:cs="Arial"/>
          <w:color w:val="000000" w:themeColor="text1"/>
          <w:sz w:val="20"/>
          <w:szCs w:val="20"/>
          <w:lang w:val="en-GB"/>
        </w:rPr>
        <w:t>q</w:t>
      </w:r>
      <w:r w:rsidRPr="001209DF">
        <w:rPr>
          <w:rFonts w:ascii="Arial" w:hAnsi="Arial" w:cs="Arial"/>
          <w:color w:val="000000" w:themeColor="text1"/>
          <w:sz w:val="20"/>
          <w:szCs w:val="20"/>
          <w:lang w:val="en-GB"/>
        </w:rPr>
        <w:t>uarters</w:t>
      </w:r>
      <w:r w:rsidR="00CB5AAB" w:rsidRPr="001209DF">
        <w:rPr>
          <w:rFonts w:ascii="Arial" w:hAnsi="Arial" w:cs="Arial"/>
          <w:color w:val="000000" w:themeColor="text1"/>
          <w:sz w:val="20"/>
          <w:szCs w:val="20"/>
          <w:lang w:val="en-GB"/>
        </w:rPr>
        <w:t xml:space="preserve"> of the NSCN</w:t>
      </w:r>
      <w:r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 xml:space="preserve">IM to prevent the Assam Rifles </w:t>
      </w:r>
      <w:r w:rsidRPr="001209DF">
        <w:rPr>
          <w:rFonts w:ascii="Arial" w:hAnsi="Arial" w:cs="Arial"/>
          <w:color w:val="000000" w:themeColor="text1"/>
          <w:sz w:val="20"/>
          <w:szCs w:val="20"/>
          <w:lang w:val="en-GB"/>
        </w:rPr>
        <w:t xml:space="preserve">(AR) </w:t>
      </w:r>
      <w:r w:rsidR="00CB5AAB" w:rsidRPr="001209DF">
        <w:rPr>
          <w:rFonts w:ascii="Arial" w:hAnsi="Arial" w:cs="Arial"/>
          <w:color w:val="000000" w:themeColor="text1"/>
          <w:sz w:val="20"/>
          <w:szCs w:val="20"/>
          <w:lang w:val="en-GB"/>
        </w:rPr>
        <w:t xml:space="preserve">from passing. The AR troops were planning to distribute solar lamps as part of their civic action in the area and the villagers feared that their presence within a near </w:t>
      </w:r>
      <w:r w:rsidRPr="001209DF">
        <w:rPr>
          <w:rFonts w:ascii="Arial" w:hAnsi="Arial" w:cs="Arial"/>
          <w:color w:val="000000" w:themeColor="text1"/>
          <w:sz w:val="20"/>
          <w:szCs w:val="20"/>
          <w:lang w:val="en-GB"/>
        </w:rPr>
        <w:t>one-</w:t>
      </w:r>
      <w:r w:rsidR="00CB5AAB" w:rsidRPr="001209DF">
        <w:rPr>
          <w:rFonts w:ascii="Arial" w:hAnsi="Arial" w:cs="Arial"/>
          <w:color w:val="000000" w:themeColor="text1"/>
          <w:sz w:val="20"/>
          <w:szCs w:val="20"/>
          <w:lang w:val="en-GB"/>
        </w:rPr>
        <w:t>k</w:t>
      </w:r>
      <w:r w:rsidRPr="001209DF">
        <w:rPr>
          <w:rFonts w:ascii="Arial" w:hAnsi="Arial" w:cs="Arial"/>
          <w:color w:val="000000" w:themeColor="text1"/>
          <w:sz w:val="20"/>
          <w:szCs w:val="20"/>
          <w:lang w:val="en-GB"/>
        </w:rPr>
        <w:t>ilo</w:t>
      </w:r>
      <w:r w:rsidR="00CB5AAB" w:rsidRPr="001209DF">
        <w:rPr>
          <w:rFonts w:ascii="Arial" w:hAnsi="Arial" w:cs="Arial"/>
          <w:color w:val="000000" w:themeColor="text1"/>
          <w:sz w:val="20"/>
          <w:szCs w:val="20"/>
          <w:lang w:val="en-GB"/>
        </w:rPr>
        <w:t>m</w:t>
      </w:r>
      <w:r w:rsidRPr="001209DF">
        <w:rPr>
          <w:rFonts w:ascii="Arial" w:hAnsi="Arial" w:cs="Arial"/>
          <w:color w:val="000000" w:themeColor="text1"/>
          <w:sz w:val="20"/>
          <w:szCs w:val="20"/>
          <w:lang w:val="en-GB"/>
        </w:rPr>
        <w:t>etre</w:t>
      </w:r>
      <w:r w:rsidR="00CB5AAB" w:rsidRPr="001209DF">
        <w:rPr>
          <w:rFonts w:ascii="Arial" w:hAnsi="Arial" w:cs="Arial"/>
          <w:color w:val="000000" w:themeColor="text1"/>
          <w:sz w:val="20"/>
          <w:szCs w:val="20"/>
          <w:lang w:val="en-GB"/>
        </w:rPr>
        <w:t xml:space="preserve"> radius might lead to unnecessary clashes. </w:t>
      </w:r>
    </w:p>
    <w:p w:rsidR="00CB5AAB" w:rsidRPr="001209DF" w:rsidRDefault="00CB5AAB" w:rsidP="00001F6A">
      <w:pPr>
        <w:spacing w:after="0" w:line="240" w:lineRule="auto"/>
        <w:jc w:val="both"/>
        <w:rPr>
          <w:rFonts w:ascii="Arial" w:hAnsi="Arial" w:cs="Arial"/>
          <w:b/>
          <w:i/>
          <w:color w:val="000000" w:themeColor="text1"/>
          <w:sz w:val="20"/>
          <w:szCs w:val="20"/>
          <w:highlight w:val="cyan"/>
          <w:lang w:val="en-GB"/>
        </w:rPr>
      </w:pPr>
    </w:p>
    <w:p w:rsidR="00CB5AAB" w:rsidRPr="001209DF" w:rsidRDefault="00CB5AAB" w:rsidP="00001F6A">
      <w:pPr>
        <w:pStyle w:val="ListParagraph"/>
        <w:numPr>
          <w:ilvl w:val="0"/>
          <w:numId w:val="6"/>
        </w:numPr>
        <w:spacing w:after="0" w:line="240" w:lineRule="auto"/>
        <w:ind w:left="567" w:hanging="283"/>
        <w:contextualSpacing w:val="0"/>
        <w:jc w:val="both"/>
        <w:rPr>
          <w:rFonts w:ascii="Arial" w:hAnsi="Arial" w:cs="Arial"/>
          <w:b/>
          <w:i/>
          <w:color w:val="000000" w:themeColor="text1"/>
          <w:sz w:val="20"/>
          <w:szCs w:val="20"/>
          <w:lang w:val="en-GB"/>
        </w:rPr>
      </w:pPr>
      <w:r w:rsidRPr="001209DF">
        <w:rPr>
          <w:rFonts w:ascii="Arial" w:hAnsi="Arial" w:cs="Arial"/>
          <w:b/>
          <w:i/>
          <w:color w:val="000000" w:themeColor="text1"/>
          <w:sz w:val="20"/>
          <w:szCs w:val="20"/>
          <w:lang w:val="en-GB"/>
        </w:rPr>
        <w:t xml:space="preserve">Fostering </w:t>
      </w:r>
      <w:r w:rsidR="00EE2A7B" w:rsidRPr="001209DF">
        <w:rPr>
          <w:rFonts w:ascii="Arial" w:hAnsi="Arial" w:cs="Arial"/>
          <w:b/>
          <w:i/>
          <w:color w:val="000000" w:themeColor="text1"/>
          <w:sz w:val="20"/>
          <w:szCs w:val="20"/>
          <w:lang w:val="en-GB"/>
        </w:rPr>
        <w:t>I</w:t>
      </w:r>
      <w:r w:rsidRPr="001209DF">
        <w:rPr>
          <w:rFonts w:ascii="Arial" w:hAnsi="Arial" w:cs="Arial"/>
          <w:b/>
          <w:i/>
          <w:color w:val="000000" w:themeColor="text1"/>
          <w:sz w:val="20"/>
          <w:szCs w:val="20"/>
          <w:lang w:val="en-GB"/>
        </w:rPr>
        <w:t>nter</w:t>
      </w:r>
      <w:r w:rsidR="00EE2A7B" w:rsidRPr="001209DF">
        <w:rPr>
          <w:rFonts w:ascii="Arial" w:hAnsi="Arial" w:cs="Arial"/>
          <w:b/>
          <w:i/>
          <w:color w:val="000000" w:themeColor="text1"/>
          <w:sz w:val="20"/>
          <w:szCs w:val="20"/>
          <w:lang w:val="en-GB"/>
        </w:rPr>
        <w:t>-</w:t>
      </w:r>
      <w:r w:rsidRPr="001209DF">
        <w:rPr>
          <w:rFonts w:ascii="Arial" w:hAnsi="Arial" w:cs="Arial"/>
          <w:b/>
          <w:i/>
          <w:color w:val="000000" w:themeColor="text1"/>
          <w:sz w:val="20"/>
          <w:szCs w:val="20"/>
          <w:lang w:val="en-GB"/>
        </w:rPr>
        <w:t xml:space="preserve">group Social </w:t>
      </w:r>
      <w:r w:rsidR="00EE2A7B" w:rsidRPr="001209DF">
        <w:rPr>
          <w:rFonts w:ascii="Arial" w:hAnsi="Arial" w:cs="Arial"/>
          <w:b/>
          <w:i/>
          <w:color w:val="000000" w:themeColor="text1"/>
          <w:sz w:val="20"/>
          <w:szCs w:val="20"/>
          <w:lang w:val="en-GB"/>
        </w:rPr>
        <w:t>C</w:t>
      </w:r>
      <w:r w:rsidRPr="001209DF">
        <w:rPr>
          <w:rFonts w:ascii="Arial" w:hAnsi="Arial" w:cs="Arial"/>
          <w:b/>
          <w:i/>
          <w:color w:val="000000" w:themeColor="text1"/>
          <w:sz w:val="20"/>
          <w:szCs w:val="20"/>
          <w:lang w:val="en-GB"/>
        </w:rPr>
        <w:t xml:space="preserve">ohesion </w:t>
      </w:r>
    </w:p>
    <w:p w:rsidR="00CB5AAB" w:rsidRPr="001209DF" w:rsidRDefault="00CB5AAB" w:rsidP="00001F6A">
      <w:pPr>
        <w:spacing w:after="0" w:line="240" w:lineRule="auto"/>
        <w:jc w:val="both"/>
        <w:rPr>
          <w:rFonts w:ascii="Arial" w:hAnsi="Arial" w:cs="Arial"/>
          <w:i/>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i/>
          <w:color w:val="000000" w:themeColor="text1"/>
          <w:sz w:val="20"/>
          <w:szCs w:val="20"/>
          <w:lang w:val="en-GB"/>
        </w:rPr>
        <w:t>“Reconciliation is not a precondition but we sincerely believe that i</w:t>
      </w:r>
      <w:r w:rsidR="00EE2A7B" w:rsidRPr="001209DF">
        <w:rPr>
          <w:rFonts w:ascii="Arial" w:hAnsi="Arial" w:cs="Arial"/>
          <w:i/>
          <w:color w:val="000000" w:themeColor="text1"/>
          <w:sz w:val="20"/>
          <w:szCs w:val="20"/>
          <w:lang w:val="en-GB"/>
        </w:rPr>
        <w:t>f</w:t>
      </w:r>
      <w:r w:rsidRPr="001209DF">
        <w:rPr>
          <w:rFonts w:ascii="Arial" w:hAnsi="Arial" w:cs="Arial"/>
          <w:i/>
          <w:color w:val="000000" w:themeColor="text1"/>
          <w:sz w:val="20"/>
          <w:szCs w:val="20"/>
          <w:lang w:val="en-GB"/>
        </w:rPr>
        <w:t xml:space="preserve"> a settlement is brought about without it, things could go from bad to worse”</w:t>
      </w:r>
      <w:r w:rsidR="00EE2A7B" w:rsidRPr="001209DF">
        <w:rPr>
          <w:rFonts w:ascii="Arial" w:hAnsi="Arial" w:cs="Arial"/>
          <w:i/>
          <w:color w:val="000000" w:themeColor="text1"/>
          <w:sz w:val="20"/>
          <w:szCs w:val="20"/>
          <w:lang w:val="en-GB"/>
        </w:rPr>
        <w:t xml:space="preserve"> (</w:t>
      </w:r>
      <w:r w:rsidRPr="001209DF">
        <w:rPr>
          <w:rFonts w:ascii="Arial" w:hAnsi="Arial" w:cs="Arial"/>
          <w:i/>
          <w:color w:val="000000" w:themeColor="text1"/>
          <w:sz w:val="20"/>
          <w:szCs w:val="20"/>
          <w:lang w:val="en-GB"/>
        </w:rPr>
        <w:t xml:space="preserve">M. Vero, President Naga Ho </w:t>
      </w:r>
      <w:proofErr w:type="spellStart"/>
      <w:r w:rsidRPr="001209DF">
        <w:rPr>
          <w:rFonts w:ascii="Arial" w:hAnsi="Arial" w:cs="Arial"/>
          <w:i/>
          <w:color w:val="000000" w:themeColor="text1"/>
          <w:sz w:val="20"/>
          <w:szCs w:val="20"/>
          <w:lang w:val="en-GB"/>
        </w:rPr>
        <w:t>Ho</w:t>
      </w:r>
      <w:proofErr w:type="spellEnd"/>
      <w:r w:rsidR="00EE2A7B" w:rsidRPr="001209DF">
        <w:rPr>
          <w:rFonts w:ascii="Arial" w:hAnsi="Arial" w:cs="Arial"/>
          <w:i/>
          <w:color w:val="000000" w:themeColor="text1"/>
          <w:sz w:val="20"/>
          <w:szCs w:val="20"/>
          <w:lang w:val="en-GB"/>
        </w:rPr>
        <w:t>)</w:t>
      </w:r>
      <w:r w:rsidRPr="001209DF">
        <w:rPr>
          <w:rFonts w:ascii="Arial" w:hAnsi="Arial" w:cs="Arial"/>
          <w:color w:val="000000" w:themeColor="text1"/>
          <w:sz w:val="20"/>
          <w:szCs w:val="20"/>
          <w:lang w:val="en-GB"/>
        </w:rPr>
        <w:t xml:space="preserve">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Naga civil society organisations most crucial role in </w:t>
      </w:r>
      <w:r w:rsidR="009F4879" w:rsidRPr="001209DF">
        <w:rPr>
          <w:rFonts w:ascii="Arial" w:hAnsi="Arial" w:cs="Arial"/>
          <w:color w:val="000000" w:themeColor="text1"/>
          <w:sz w:val="20"/>
          <w:szCs w:val="20"/>
          <w:lang w:val="en-GB"/>
        </w:rPr>
        <w:t>peacebuilding</w:t>
      </w:r>
      <w:r w:rsidRPr="001209DF">
        <w:rPr>
          <w:rFonts w:ascii="Arial" w:hAnsi="Arial" w:cs="Arial"/>
          <w:color w:val="000000" w:themeColor="text1"/>
          <w:sz w:val="20"/>
          <w:szCs w:val="20"/>
          <w:lang w:val="en-GB"/>
        </w:rPr>
        <w:t xml:space="preserve"> has been to promote unity and reconciliation between the armed factions and heal a divided Naga society. Early efforts by the Naga Ho </w:t>
      </w:r>
      <w:proofErr w:type="spellStart"/>
      <w:r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t xml:space="preserve">, </w:t>
      </w:r>
      <w:r w:rsidR="00EF2EEC">
        <w:rPr>
          <w:rFonts w:ascii="Arial" w:hAnsi="Arial" w:cs="Arial"/>
          <w:color w:val="000000" w:themeColor="text1"/>
          <w:sz w:val="20"/>
          <w:szCs w:val="20"/>
          <w:lang w:val="en-GB"/>
        </w:rPr>
        <w:t xml:space="preserve">Naga Students Federation (NSF), </w:t>
      </w:r>
      <w:r w:rsidRPr="001209DF">
        <w:rPr>
          <w:rFonts w:ascii="Arial" w:hAnsi="Arial" w:cs="Arial"/>
          <w:color w:val="000000" w:themeColor="text1"/>
          <w:sz w:val="20"/>
          <w:szCs w:val="20"/>
          <w:lang w:val="en-GB"/>
        </w:rPr>
        <w:t xml:space="preserve">NPMHR, NMA, </w:t>
      </w:r>
      <w:r w:rsidR="00EE2A7B" w:rsidRPr="001209DF">
        <w:rPr>
          <w:rFonts w:ascii="Arial" w:hAnsi="Arial" w:cs="Arial"/>
          <w:iCs/>
          <w:color w:val="000000" w:themeColor="text1"/>
          <w:sz w:val="20"/>
          <w:szCs w:val="20"/>
          <w:lang w:val="en-GB"/>
        </w:rPr>
        <w:t>Naga Women's Union</w:t>
      </w:r>
      <w:r w:rsidR="00EF2EEC">
        <w:rPr>
          <w:rFonts w:ascii="Arial" w:hAnsi="Arial" w:cs="Arial"/>
          <w:iCs/>
          <w:color w:val="000000" w:themeColor="text1"/>
          <w:sz w:val="20"/>
          <w:szCs w:val="20"/>
          <w:lang w:val="en-GB"/>
        </w:rPr>
        <w:t xml:space="preserve"> (</w:t>
      </w:r>
      <w:r w:rsidRPr="001209DF">
        <w:rPr>
          <w:rFonts w:ascii="Arial" w:hAnsi="Arial" w:cs="Arial"/>
          <w:color w:val="000000" w:themeColor="text1"/>
          <w:sz w:val="20"/>
          <w:szCs w:val="20"/>
          <w:lang w:val="en-GB"/>
        </w:rPr>
        <w:t>NWU</w:t>
      </w:r>
      <w:r w:rsidR="00EF2EEC">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and the churches to convene a high-level summit of the top leaders of the armed groups were repeatedly stymied by mutual suspicions and recrimination. Claims to adopt a non</w:t>
      </w:r>
      <w:r w:rsidR="00EE2A7B"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partisan even-handed approach towards the armed factions were rejected and resisted as evident in the </w:t>
      </w:r>
      <w:r w:rsidR="00EF2EEC">
        <w:rPr>
          <w:rFonts w:ascii="Arial" w:hAnsi="Arial" w:cs="Arial"/>
          <w:color w:val="000000" w:themeColor="text1"/>
          <w:sz w:val="20"/>
          <w:szCs w:val="20"/>
          <w:lang w:val="en-GB"/>
        </w:rPr>
        <w:t xml:space="preserve">demise </w:t>
      </w:r>
      <w:r w:rsidRPr="001209DF">
        <w:rPr>
          <w:rFonts w:ascii="Arial" w:hAnsi="Arial" w:cs="Arial"/>
          <w:color w:val="000000" w:themeColor="text1"/>
          <w:sz w:val="20"/>
          <w:szCs w:val="20"/>
          <w:lang w:val="en-GB"/>
        </w:rPr>
        <w:t xml:space="preserve">of the promising “Naga National Reconciliation” initiative (2001) The NSCN-IM collective leadership, despite misgivings about compromising the priority of the peace agenda, participated in the process. According to one of the prime movers of the initiative, Naga Ho </w:t>
      </w:r>
      <w:proofErr w:type="spellStart"/>
      <w:r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t>, President, M. Vero,</w:t>
      </w:r>
      <w:r w:rsidRPr="001209DF">
        <w:rPr>
          <w:rStyle w:val="FootnoteReference"/>
          <w:rFonts w:ascii="Arial" w:hAnsi="Arial" w:cs="Arial"/>
          <w:color w:val="000000" w:themeColor="text1"/>
          <w:sz w:val="20"/>
          <w:szCs w:val="20"/>
          <w:lang w:val="en-GB"/>
        </w:rPr>
        <w:footnoteReference w:id="20"/>
      </w:r>
      <w:r w:rsidRPr="001209DF">
        <w:rPr>
          <w:rFonts w:ascii="Arial" w:hAnsi="Arial" w:cs="Arial"/>
          <w:color w:val="000000" w:themeColor="text1"/>
          <w:sz w:val="20"/>
          <w:szCs w:val="20"/>
          <w:lang w:val="en-GB"/>
        </w:rPr>
        <w:t xml:space="preserve"> the Kohima Declaration’s bold assertion of an independent people-driven process proved too threatening: the IM reasserted control and circumvented the programme by convening its own Consultations conclaves. In the still highly polarized space of Naga society, the emphasis on </w:t>
      </w:r>
      <w:r w:rsidR="00EF2EEC">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unity</w:t>
      </w:r>
      <w:r w:rsidR="00EF2EEC">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was perceived as in competition and even in opposition to the political dialogue embraced by the IM group. Arguably, like many underground organizations, NSCN-IM was suspicious of over-ground civil society organizations and suspected them of being collaborators of the Indian government. The Vero episode highlighted the continuous struggle for expanding the middle space for non</w:t>
      </w:r>
      <w:r w:rsidR="001E612A"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partisan autonomy of action.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Seven years later, as factional violence again peaked, the reconciliation initiative was recast as the Forum for Naga Reconciliation (FNR) in 2008. Its survival and relative credibility, demonstrates the steady expansion of a middle non-partisan space in the post conflict Naga civil society sphere. The lack of space to be bi-partisan is what scuttled the “Naga National Reconciliation Programme in 2001. FNR functions in a broader</w:t>
      </w:r>
      <w:r w:rsidR="00EF2EEC">
        <w:rPr>
          <w:rFonts w:ascii="Arial" w:hAnsi="Arial" w:cs="Arial"/>
          <w:color w:val="000000" w:themeColor="text1"/>
          <w:sz w:val="20"/>
          <w:szCs w:val="20"/>
          <w:lang w:val="en-GB"/>
        </w:rPr>
        <w:t xml:space="preserve"> non partisan </w:t>
      </w:r>
      <w:r w:rsidRPr="001209DF">
        <w:rPr>
          <w:rFonts w:ascii="Arial" w:hAnsi="Arial" w:cs="Arial"/>
          <w:color w:val="000000" w:themeColor="text1"/>
          <w:sz w:val="20"/>
          <w:szCs w:val="20"/>
          <w:lang w:val="en-GB"/>
        </w:rPr>
        <w:t>middle space. Significantly, the convener of FNR is Rev</w:t>
      </w:r>
      <w:r w:rsidR="001E612A"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Wati</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Aier</w:t>
      </w:r>
      <w:proofErr w:type="spellEnd"/>
      <w:r w:rsidRPr="001209DF">
        <w:rPr>
          <w:rFonts w:ascii="Arial" w:hAnsi="Arial" w:cs="Arial"/>
          <w:color w:val="000000" w:themeColor="text1"/>
          <w:sz w:val="20"/>
          <w:szCs w:val="20"/>
          <w:lang w:val="en-GB"/>
        </w:rPr>
        <w:t>, who was part of the Steering Committee of the earlier reconciliation programme. It should be added that this expanding middle space</w:t>
      </w:r>
      <w:r w:rsidR="001E612A" w:rsidRPr="001209DF">
        <w:rPr>
          <w:rFonts w:ascii="Arial" w:hAnsi="Arial" w:cs="Arial"/>
          <w:color w:val="000000" w:themeColor="text1"/>
          <w:sz w:val="20"/>
          <w:szCs w:val="20"/>
          <w:lang w:val="en-GB"/>
        </w:rPr>
        <w:t xml:space="preserve"> </w:t>
      </w:r>
      <w:r w:rsidR="001E612A" w:rsidRPr="001209DF">
        <w:rPr>
          <w:rFonts w:ascii="Arial" w:hAnsi="Arial" w:cs="Arial"/>
          <w:color w:val="000000" w:themeColor="text1"/>
          <w:sz w:val="20"/>
          <w:szCs w:val="20"/>
          <w:lang w:val="en-GB"/>
        </w:rPr>
        <w:sym w:font="Symbol" w:char="F02D"/>
      </w:r>
      <w:r w:rsidRPr="001209DF">
        <w:rPr>
          <w:rFonts w:ascii="Arial" w:hAnsi="Arial" w:cs="Arial"/>
          <w:color w:val="000000" w:themeColor="text1"/>
          <w:sz w:val="20"/>
          <w:szCs w:val="20"/>
          <w:lang w:val="en-GB"/>
        </w:rPr>
        <w:t>between the factions</w:t>
      </w:r>
      <w:r w:rsidR="001E612A"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between the GOI and the armed political groups</w:t>
      </w:r>
      <w:r w:rsidR="001E612A"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and between Naga society and the NSCN</w:t>
      </w:r>
      <w:r w:rsidR="001E612A" w:rsidRPr="001209DF">
        <w:rPr>
          <w:rFonts w:ascii="Arial" w:hAnsi="Arial" w:cs="Arial"/>
          <w:color w:val="000000" w:themeColor="text1"/>
          <w:sz w:val="20"/>
          <w:szCs w:val="20"/>
          <w:lang w:val="en-GB"/>
        </w:rPr>
        <w:sym w:font="Symbol" w:char="F02D"/>
      </w:r>
      <w:r w:rsidR="001E612A" w:rsidRPr="001209DF">
        <w:rPr>
          <w:rFonts w:ascii="Arial" w:hAnsi="Arial" w:cs="Arial"/>
          <w:color w:val="000000" w:themeColor="text1"/>
          <w:sz w:val="20"/>
          <w:szCs w:val="20"/>
          <w:lang w:val="en-GB"/>
        </w:rPr>
        <w:t xml:space="preserve"> i</w:t>
      </w:r>
      <w:r w:rsidRPr="001209DF">
        <w:rPr>
          <w:rFonts w:ascii="Arial" w:hAnsi="Arial" w:cs="Arial"/>
          <w:color w:val="000000" w:themeColor="text1"/>
          <w:sz w:val="20"/>
          <w:szCs w:val="20"/>
          <w:lang w:val="en-GB"/>
        </w:rPr>
        <w:t xml:space="preserve">s contingent on the ceasefire holding. As a perceptive observer of Naga affairs Bharat </w:t>
      </w:r>
      <w:proofErr w:type="spellStart"/>
      <w:r w:rsidRPr="001209DF">
        <w:rPr>
          <w:rFonts w:ascii="Arial" w:hAnsi="Arial" w:cs="Arial"/>
          <w:color w:val="000000" w:themeColor="text1"/>
          <w:sz w:val="20"/>
          <w:szCs w:val="20"/>
          <w:lang w:val="en-GB"/>
        </w:rPr>
        <w:t>Bhushan</w:t>
      </w:r>
      <w:proofErr w:type="spellEnd"/>
      <w:r w:rsidRPr="001209DF">
        <w:rPr>
          <w:rFonts w:ascii="Arial" w:hAnsi="Arial" w:cs="Arial"/>
          <w:color w:val="000000" w:themeColor="text1"/>
          <w:sz w:val="20"/>
          <w:szCs w:val="20"/>
          <w:lang w:val="en-GB"/>
        </w:rPr>
        <w:t xml:space="preserve"> cautioned, “the degree of freedom of those occupying the middle space is limited by the underground</w:t>
      </w:r>
      <w:r w:rsidR="001E612A"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(and the GOI). This was particularly evident during the recent FNR</w:t>
      </w:r>
      <w:r w:rsidR="001E612A"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facilitated Naga Peoples’ Convention in </w:t>
      </w:r>
      <w:proofErr w:type="spellStart"/>
      <w:r w:rsidRPr="001209DF">
        <w:rPr>
          <w:rFonts w:ascii="Arial" w:hAnsi="Arial" w:cs="Arial"/>
          <w:color w:val="000000" w:themeColor="text1"/>
          <w:sz w:val="20"/>
          <w:szCs w:val="20"/>
          <w:lang w:val="en-GB"/>
        </w:rPr>
        <w:t>Dimapur</w:t>
      </w:r>
      <w:proofErr w:type="spellEnd"/>
      <w:r w:rsidRPr="001209DF">
        <w:rPr>
          <w:rFonts w:ascii="Arial" w:hAnsi="Arial" w:cs="Arial"/>
          <w:color w:val="000000" w:themeColor="text1"/>
          <w:sz w:val="20"/>
          <w:szCs w:val="20"/>
          <w:lang w:val="en-GB"/>
        </w:rPr>
        <w:t xml:space="preserve"> </w:t>
      </w:r>
      <w:r w:rsidR="001E612A" w:rsidRPr="001209DF">
        <w:rPr>
          <w:rFonts w:ascii="Arial" w:hAnsi="Arial" w:cs="Arial"/>
          <w:color w:val="000000" w:themeColor="text1"/>
          <w:sz w:val="20"/>
          <w:szCs w:val="20"/>
          <w:lang w:val="en-GB"/>
        </w:rPr>
        <w:t>o</w:t>
      </w:r>
      <w:r w:rsidRPr="001209DF">
        <w:rPr>
          <w:rFonts w:ascii="Arial" w:hAnsi="Arial" w:cs="Arial"/>
          <w:color w:val="000000" w:themeColor="text1"/>
          <w:sz w:val="20"/>
          <w:szCs w:val="20"/>
          <w:lang w:val="en-GB"/>
        </w:rPr>
        <w:t xml:space="preserve">n </w:t>
      </w:r>
      <w:r w:rsidR="001E612A" w:rsidRPr="001209DF">
        <w:rPr>
          <w:rFonts w:ascii="Arial" w:hAnsi="Arial" w:cs="Arial"/>
          <w:color w:val="000000" w:themeColor="text1"/>
          <w:sz w:val="20"/>
          <w:szCs w:val="20"/>
          <w:lang w:val="en-GB"/>
        </w:rPr>
        <w:t xml:space="preserve">29 </w:t>
      </w:r>
      <w:r w:rsidRPr="001209DF">
        <w:rPr>
          <w:rFonts w:ascii="Arial" w:hAnsi="Arial" w:cs="Arial"/>
          <w:color w:val="000000" w:themeColor="text1"/>
          <w:sz w:val="20"/>
          <w:szCs w:val="20"/>
          <w:lang w:val="en-GB"/>
        </w:rPr>
        <w:t>February 2012.”</w:t>
      </w:r>
      <w:r w:rsidRPr="001209DF">
        <w:rPr>
          <w:rStyle w:val="FootnoteReference"/>
          <w:rFonts w:ascii="Arial" w:hAnsi="Arial" w:cs="Arial"/>
          <w:color w:val="000000" w:themeColor="text1"/>
          <w:sz w:val="20"/>
          <w:szCs w:val="20"/>
          <w:lang w:val="en-GB"/>
        </w:rPr>
        <w:footnoteReference w:id="21"/>
      </w:r>
      <w:r w:rsidRPr="001209DF">
        <w:rPr>
          <w:rFonts w:ascii="Arial" w:hAnsi="Arial" w:cs="Arial"/>
          <w:color w:val="000000" w:themeColor="text1"/>
          <w:sz w:val="20"/>
          <w:szCs w:val="20"/>
          <w:lang w:val="en-GB"/>
        </w:rPr>
        <w:t xml:space="preserve"> The mass conclave was expected to be a turning point in achieving reconciliation and the opportunity for the NSCN collective leadership to take into confidence the Naga civil society representatives on the political deal being negotiated. But the trust vacuum remained too wide and egos came in the way of demonstrating statesmanship. In the end, the NPC demonstrated the limits of the Naga social solidarities to influence the armed groups. Analogously, it also showed that </w:t>
      </w:r>
      <w:r w:rsidRPr="001209DF">
        <w:rPr>
          <w:rFonts w:ascii="Arial" w:hAnsi="Arial" w:cs="Arial"/>
          <w:b/>
          <w:color w:val="000000" w:themeColor="text1"/>
          <w:sz w:val="20"/>
          <w:szCs w:val="20"/>
          <w:lang w:val="en-GB"/>
        </w:rPr>
        <w:t>the degree of freedom of the armed groups (and the GOI) is limited by the power of civil society to provide the legitimacy necessary in an asymmetric political process</w:t>
      </w:r>
      <w:r w:rsidRPr="001209DF">
        <w:rPr>
          <w:rFonts w:ascii="Arial" w:hAnsi="Arial" w:cs="Arial"/>
          <w:color w:val="000000" w:themeColor="text1"/>
          <w:sz w:val="20"/>
          <w:szCs w:val="20"/>
          <w:lang w:val="en-GB"/>
        </w:rPr>
        <w:t xml:space="preserve">.  </w:t>
      </w:r>
    </w:p>
    <w:p w:rsidR="00B90A3C" w:rsidRPr="001209DF" w:rsidRDefault="00B90A3C" w:rsidP="00001F6A">
      <w:pPr>
        <w:spacing w:after="0" w:line="240" w:lineRule="auto"/>
        <w:jc w:val="both"/>
        <w:rPr>
          <w:rFonts w:ascii="Arial" w:hAnsi="Arial" w:cs="Arial"/>
          <w:color w:val="000000" w:themeColor="text1"/>
          <w:sz w:val="20"/>
          <w:szCs w:val="20"/>
          <w:lang w:val="en-GB"/>
        </w:rPr>
      </w:pPr>
    </w:p>
    <w:p w:rsidR="00CB5AAB" w:rsidRPr="001209DF" w:rsidRDefault="008E282F" w:rsidP="00001F6A">
      <w:pPr>
        <w:pStyle w:val="ListParagraph"/>
        <w:numPr>
          <w:ilvl w:val="0"/>
          <w:numId w:val="6"/>
        </w:numPr>
        <w:spacing w:after="0" w:line="240" w:lineRule="auto"/>
        <w:ind w:left="567" w:hanging="283"/>
        <w:contextualSpacing w:val="0"/>
        <w:jc w:val="both"/>
        <w:rPr>
          <w:rFonts w:ascii="Arial" w:hAnsi="Arial" w:cs="Arial"/>
          <w:b/>
          <w:color w:val="000000" w:themeColor="text1"/>
          <w:sz w:val="20"/>
          <w:szCs w:val="20"/>
          <w:lang w:val="en-GB"/>
        </w:rPr>
      </w:pPr>
      <w:r w:rsidRPr="001209DF">
        <w:rPr>
          <w:rFonts w:ascii="Arial" w:hAnsi="Arial" w:cs="Arial"/>
          <w:b/>
          <w:color w:val="000000" w:themeColor="text1"/>
          <w:sz w:val="20"/>
          <w:szCs w:val="20"/>
          <w:lang w:val="en-GB"/>
        </w:rPr>
        <w:t xml:space="preserve">The </w:t>
      </w:r>
      <w:r w:rsidR="00CB5AAB" w:rsidRPr="001209DF">
        <w:rPr>
          <w:rFonts w:ascii="Arial" w:hAnsi="Arial" w:cs="Arial"/>
          <w:b/>
          <w:color w:val="000000" w:themeColor="text1"/>
          <w:sz w:val="20"/>
          <w:szCs w:val="20"/>
          <w:lang w:val="en-GB"/>
        </w:rPr>
        <w:t xml:space="preserve">‘Taming’ of </w:t>
      </w:r>
      <w:r w:rsidRPr="001209DF">
        <w:rPr>
          <w:rFonts w:ascii="Arial" w:hAnsi="Arial" w:cs="Arial"/>
          <w:b/>
          <w:color w:val="000000" w:themeColor="text1"/>
          <w:sz w:val="20"/>
          <w:szCs w:val="20"/>
          <w:lang w:val="en-GB"/>
        </w:rPr>
        <w:t>C</w:t>
      </w:r>
      <w:r w:rsidR="00CB5AAB" w:rsidRPr="001209DF">
        <w:rPr>
          <w:rFonts w:ascii="Arial" w:hAnsi="Arial" w:cs="Arial"/>
          <w:b/>
          <w:color w:val="000000" w:themeColor="text1"/>
          <w:sz w:val="20"/>
          <w:szCs w:val="20"/>
          <w:lang w:val="en-GB"/>
        </w:rPr>
        <w:t xml:space="preserve">ivil </w:t>
      </w:r>
      <w:r w:rsidRPr="001209DF">
        <w:rPr>
          <w:rFonts w:ascii="Arial" w:hAnsi="Arial" w:cs="Arial"/>
          <w:b/>
          <w:color w:val="000000" w:themeColor="text1"/>
          <w:sz w:val="20"/>
          <w:szCs w:val="20"/>
          <w:lang w:val="en-GB"/>
        </w:rPr>
        <w:t>S</w:t>
      </w:r>
      <w:r w:rsidR="00CB5AAB" w:rsidRPr="001209DF">
        <w:rPr>
          <w:rFonts w:ascii="Arial" w:hAnsi="Arial" w:cs="Arial"/>
          <w:b/>
          <w:color w:val="000000" w:themeColor="text1"/>
          <w:sz w:val="20"/>
          <w:szCs w:val="20"/>
          <w:lang w:val="en-GB"/>
        </w:rPr>
        <w:t xml:space="preserve">ociety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Eighteen long ceasefire years has seen the sharp polarisation emanating from the violent conflict give way to an expanding non-partisan middle space, and its corollary</w:t>
      </w:r>
      <w:r w:rsidR="001E612A" w:rsidRPr="001209DF">
        <w:rPr>
          <w:rFonts w:ascii="Arial" w:hAnsi="Arial" w:cs="Arial"/>
          <w:color w:val="000000" w:themeColor="text1"/>
          <w:sz w:val="20"/>
          <w:szCs w:val="20"/>
          <w:lang w:val="en-GB"/>
        </w:rPr>
        <w:t xml:space="preserve"> </w:t>
      </w:r>
      <w:r w:rsidR="001E612A" w:rsidRPr="001209DF">
        <w:rPr>
          <w:rFonts w:ascii="Arial" w:hAnsi="Arial" w:cs="Arial"/>
          <w:color w:val="000000" w:themeColor="text1"/>
          <w:sz w:val="20"/>
          <w:szCs w:val="20"/>
          <w:lang w:val="en-GB"/>
        </w:rPr>
        <w:sym w:font="Symbol" w:char="F02D"/>
      </w:r>
      <w:r w:rsidRPr="001209DF">
        <w:rPr>
          <w:rFonts w:ascii="Arial" w:hAnsi="Arial" w:cs="Arial"/>
          <w:color w:val="000000" w:themeColor="text1"/>
          <w:sz w:val="20"/>
          <w:szCs w:val="20"/>
          <w:lang w:val="en-GB"/>
        </w:rPr>
        <w:t xml:space="preserve"> expanding and intersecting circles of power, traditional and modern. The peculiar characteristic of the Naga conflict and indeed several other armed struggles in the Northeast is that </w:t>
      </w:r>
      <w:r w:rsidRPr="001209DF">
        <w:rPr>
          <w:rFonts w:ascii="Arial" w:hAnsi="Arial" w:cs="Arial"/>
          <w:b/>
          <w:color w:val="000000" w:themeColor="text1"/>
          <w:sz w:val="20"/>
          <w:szCs w:val="20"/>
          <w:lang w:val="en-GB"/>
        </w:rPr>
        <w:t>the endemic cycles of war coexist with the parallel trajectory of Indian state’s peacemaking via the creation of self governing homelands and special federal arrangements</w:t>
      </w:r>
      <w:r w:rsidRPr="001209DF">
        <w:rPr>
          <w:rFonts w:ascii="Arial" w:hAnsi="Arial" w:cs="Arial"/>
          <w:color w:val="000000" w:themeColor="text1"/>
          <w:sz w:val="20"/>
          <w:szCs w:val="20"/>
          <w:lang w:val="en-GB"/>
        </w:rPr>
        <w:t>. In the Naga context five decades of state and market penetration ha</w:t>
      </w:r>
      <w:r w:rsidR="001E612A" w:rsidRPr="001209DF">
        <w:rPr>
          <w:rFonts w:ascii="Arial" w:hAnsi="Arial" w:cs="Arial"/>
          <w:color w:val="000000" w:themeColor="text1"/>
          <w:sz w:val="20"/>
          <w:szCs w:val="20"/>
          <w:lang w:val="en-GB"/>
        </w:rPr>
        <w:t>ve</w:t>
      </w:r>
      <w:r w:rsidRPr="001209DF">
        <w:rPr>
          <w:rFonts w:ascii="Arial" w:hAnsi="Arial" w:cs="Arial"/>
          <w:color w:val="000000" w:themeColor="text1"/>
          <w:sz w:val="20"/>
          <w:szCs w:val="20"/>
          <w:lang w:val="en-GB"/>
        </w:rPr>
        <w:t xml:space="preserve"> created a widening circle of stakeholders in the existing Indian state system – the salari</w:t>
      </w:r>
      <w:r w:rsidR="001E612A" w:rsidRPr="001209DF">
        <w:rPr>
          <w:rFonts w:ascii="Arial" w:hAnsi="Arial" w:cs="Arial"/>
          <w:color w:val="000000" w:themeColor="text1"/>
          <w:sz w:val="20"/>
          <w:szCs w:val="20"/>
          <w:lang w:val="en-GB"/>
        </w:rPr>
        <w:t>ed workers</w:t>
      </w:r>
      <w:r w:rsidRPr="001209DF">
        <w:rPr>
          <w:rFonts w:ascii="Arial" w:hAnsi="Arial" w:cs="Arial"/>
          <w:color w:val="000000" w:themeColor="text1"/>
          <w:sz w:val="20"/>
          <w:szCs w:val="20"/>
          <w:lang w:val="en-GB"/>
        </w:rPr>
        <w:t xml:space="preserve">, contractors, lease holders of natural resources, educationists, etc. Moreover, the protracted hiatus of ceasefire </w:t>
      </w:r>
      <w:r w:rsidRPr="001209DF">
        <w:rPr>
          <w:rFonts w:ascii="Arial" w:hAnsi="Arial" w:cs="Arial"/>
          <w:i/>
          <w:color w:val="000000" w:themeColor="text1"/>
          <w:sz w:val="20"/>
          <w:szCs w:val="20"/>
          <w:lang w:val="en-GB"/>
        </w:rPr>
        <w:t>sans</w:t>
      </w:r>
      <w:r w:rsidRPr="001209DF">
        <w:rPr>
          <w:rFonts w:ascii="Arial" w:hAnsi="Arial" w:cs="Arial"/>
          <w:color w:val="000000" w:themeColor="text1"/>
          <w:sz w:val="20"/>
          <w:szCs w:val="20"/>
          <w:lang w:val="en-GB"/>
        </w:rPr>
        <w:t xml:space="preserve"> political settlement has entrenched intersecting circles of power and parallel centres of authority – the armed g</w:t>
      </w:r>
      <w:r w:rsidR="00CD2C09">
        <w:rPr>
          <w:rFonts w:ascii="Arial" w:hAnsi="Arial" w:cs="Arial"/>
          <w:color w:val="000000" w:themeColor="text1"/>
          <w:sz w:val="20"/>
          <w:szCs w:val="20"/>
          <w:lang w:val="en-GB"/>
        </w:rPr>
        <w:t>r</w:t>
      </w:r>
      <w:r w:rsidRPr="001209DF">
        <w:rPr>
          <w:rFonts w:ascii="Arial" w:hAnsi="Arial" w:cs="Arial"/>
          <w:color w:val="000000" w:themeColor="text1"/>
          <w:sz w:val="20"/>
          <w:szCs w:val="20"/>
          <w:lang w:val="en-GB"/>
        </w:rPr>
        <w:t xml:space="preserve">oups, the traditional tribal structures of authority and modern and competing avatars (Naga Ho </w:t>
      </w:r>
      <w:proofErr w:type="spellStart"/>
      <w:r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t>), state government institutions, elected lawmakers, political parties, the security forces and intelligence agencies. Customary practices of communitarian ownership are increasingly giving way to privatization of land and property</w:t>
      </w:r>
      <w:r w:rsidR="00740A07">
        <w:rPr>
          <w:rFonts w:ascii="Arial" w:hAnsi="Arial" w:cs="Arial"/>
          <w:color w:val="000000" w:themeColor="text1"/>
          <w:sz w:val="20"/>
          <w:szCs w:val="20"/>
          <w:lang w:val="en-GB"/>
        </w:rPr>
        <w:t xml:space="preserve"> and in turn</w:t>
      </w:r>
      <w:r w:rsidRPr="001209DF">
        <w:rPr>
          <w:rFonts w:ascii="Arial" w:hAnsi="Arial" w:cs="Arial"/>
          <w:color w:val="000000" w:themeColor="text1"/>
          <w:sz w:val="20"/>
          <w:szCs w:val="20"/>
          <w:lang w:val="en-GB"/>
        </w:rPr>
        <w:t xml:space="preserve"> </w:t>
      </w:r>
      <w:r w:rsidR="00740A07">
        <w:rPr>
          <w:rFonts w:ascii="Arial" w:hAnsi="Arial" w:cs="Arial"/>
          <w:color w:val="000000" w:themeColor="text1"/>
          <w:sz w:val="20"/>
          <w:szCs w:val="20"/>
          <w:lang w:val="en-GB"/>
        </w:rPr>
        <w:t xml:space="preserve">undermining </w:t>
      </w:r>
      <w:r w:rsidRPr="001209DF">
        <w:rPr>
          <w:rFonts w:ascii="Arial" w:hAnsi="Arial" w:cs="Arial"/>
          <w:color w:val="000000" w:themeColor="text1"/>
          <w:sz w:val="20"/>
          <w:szCs w:val="20"/>
          <w:lang w:val="en-GB"/>
        </w:rPr>
        <w:t>the authority of tribal elders</w:t>
      </w:r>
      <w:r w:rsidR="00CD2C09">
        <w:rPr>
          <w:rFonts w:ascii="Arial" w:hAnsi="Arial" w:cs="Arial"/>
          <w:color w:val="000000" w:themeColor="text1"/>
          <w:sz w:val="20"/>
          <w:szCs w:val="20"/>
          <w:lang w:val="en-GB"/>
        </w:rPr>
        <w:t xml:space="preserve"> who have been the mainstay of the ‘national’ movement</w:t>
      </w:r>
      <w:r w:rsidRPr="001209DF">
        <w:rPr>
          <w:rFonts w:ascii="Arial" w:hAnsi="Arial" w:cs="Arial"/>
          <w:color w:val="000000" w:themeColor="text1"/>
          <w:sz w:val="20"/>
          <w:szCs w:val="20"/>
          <w:lang w:val="en-GB"/>
        </w:rPr>
        <w:t xml:space="preserve">.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The Nagaland state, especially since the ‘pro-peace’ National Peoples’ Front took over state power (with the NSCN’s support), has </w:t>
      </w:r>
      <w:r w:rsidR="00740A07">
        <w:rPr>
          <w:rFonts w:ascii="Arial" w:hAnsi="Arial" w:cs="Arial"/>
          <w:color w:val="000000" w:themeColor="text1"/>
          <w:sz w:val="20"/>
          <w:szCs w:val="20"/>
          <w:lang w:val="en-GB"/>
        </w:rPr>
        <w:t>reached</w:t>
      </w:r>
      <w:r w:rsidRPr="001209DF">
        <w:rPr>
          <w:rFonts w:ascii="Arial" w:hAnsi="Arial" w:cs="Arial"/>
          <w:color w:val="000000" w:themeColor="text1"/>
          <w:sz w:val="20"/>
          <w:szCs w:val="20"/>
          <w:lang w:val="en-GB"/>
        </w:rPr>
        <w:t xml:space="preserve"> out its patronage power to co-opt Naga civil society. Ironically, the displacement of the long rule of the Congress government has produced a ‘taming’ of civil society’s oppositional vigour in the last few years. </w:t>
      </w:r>
      <w:r w:rsidRPr="001209DF">
        <w:rPr>
          <w:rFonts w:ascii="Arial" w:hAnsi="Arial" w:cs="Arial"/>
          <w:b/>
          <w:color w:val="000000" w:themeColor="text1"/>
          <w:sz w:val="20"/>
          <w:szCs w:val="20"/>
          <w:lang w:val="en-GB"/>
        </w:rPr>
        <w:t>The state is no longer seen as the object of political contestation, but as the provider of social goods</w:t>
      </w:r>
      <w:r w:rsidRPr="001209DF">
        <w:rPr>
          <w:rFonts w:ascii="Arial" w:hAnsi="Arial" w:cs="Arial"/>
          <w:color w:val="000000" w:themeColor="text1"/>
          <w:sz w:val="20"/>
          <w:szCs w:val="20"/>
          <w:lang w:val="en-GB"/>
        </w:rPr>
        <w:t xml:space="preserve"> and many leading Naga social activists and Naga groupings have got enmeshed in state patronage networks becoming social delivery vehicles or ‘contractors’ for the government. The steady increase in the power of the state government has produced a strengthening of the nexus between state-business and </w:t>
      </w:r>
      <w:r w:rsidR="00740A07">
        <w:rPr>
          <w:rFonts w:ascii="Arial" w:hAnsi="Arial" w:cs="Arial"/>
          <w:color w:val="000000" w:themeColor="text1"/>
          <w:sz w:val="20"/>
          <w:szCs w:val="20"/>
          <w:lang w:val="en-GB"/>
        </w:rPr>
        <w:t xml:space="preserve">CSOs </w:t>
      </w:r>
      <w:r w:rsidRPr="001209DF">
        <w:rPr>
          <w:rFonts w:ascii="Arial" w:hAnsi="Arial" w:cs="Arial"/>
          <w:color w:val="000000" w:themeColor="text1"/>
          <w:sz w:val="20"/>
          <w:szCs w:val="20"/>
          <w:lang w:val="en-GB"/>
        </w:rPr>
        <w:t xml:space="preserve">such as the Naga Ho </w:t>
      </w:r>
      <w:proofErr w:type="spellStart"/>
      <w:r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t xml:space="preserve">. More insidiously, from the perspective of democracy, there is the positioning of the Naga social organisations, especially the apex organisation </w:t>
      </w:r>
      <w:r w:rsidR="001E612A"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the Naga Ho </w:t>
      </w:r>
      <w:proofErr w:type="spellStart"/>
      <w:r w:rsidRPr="001209DF">
        <w:rPr>
          <w:rFonts w:ascii="Arial" w:hAnsi="Arial" w:cs="Arial"/>
          <w:color w:val="000000" w:themeColor="text1"/>
          <w:sz w:val="20"/>
          <w:szCs w:val="20"/>
          <w:lang w:val="en-GB"/>
        </w:rPr>
        <w:t>Ho</w:t>
      </w:r>
      <w:proofErr w:type="spellEnd"/>
      <w:r w:rsidR="001E612A"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and NMA as a substitute for the ‘people’. As a perceptive Naga scholar-journalist observed, it has become convenient for the government to position the Naga Ho </w:t>
      </w:r>
      <w:proofErr w:type="spellStart"/>
      <w:r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t xml:space="preserve"> as speaking for the Naga people. </w:t>
      </w:r>
    </w:p>
    <w:p w:rsidR="001E612A" w:rsidRPr="001209DF" w:rsidRDefault="001E612A"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pStyle w:val="ListParagraph"/>
        <w:numPr>
          <w:ilvl w:val="0"/>
          <w:numId w:val="4"/>
        </w:numPr>
        <w:spacing w:after="0" w:line="240" w:lineRule="auto"/>
        <w:contextualSpacing w:val="0"/>
        <w:jc w:val="both"/>
        <w:rPr>
          <w:rFonts w:ascii="Arial" w:hAnsi="Arial" w:cs="Arial"/>
          <w:b/>
          <w:color w:val="000000" w:themeColor="text1"/>
          <w:sz w:val="20"/>
          <w:szCs w:val="20"/>
          <w:lang w:val="en-GB"/>
        </w:rPr>
      </w:pPr>
      <w:r w:rsidRPr="001209DF">
        <w:rPr>
          <w:rFonts w:ascii="Arial" w:hAnsi="Arial" w:cs="Arial"/>
          <w:b/>
          <w:color w:val="000000" w:themeColor="text1"/>
          <w:sz w:val="20"/>
          <w:szCs w:val="20"/>
          <w:lang w:val="en-GB"/>
        </w:rPr>
        <w:t xml:space="preserve">Towards a Comparative Analysis of Autonomy Provisions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The Founding fathers of the Indian </w:t>
      </w:r>
      <w:r w:rsidR="001E612A" w:rsidRPr="001209DF">
        <w:rPr>
          <w:rFonts w:ascii="Arial" w:hAnsi="Arial" w:cs="Arial"/>
          <w:color w:val="000000" w:themeColor="text1"/>
          <w:sz w:val="20"/>
          <w:szCs w:val="20"/>
          <w:lang w:val="en-GB"/>
        </w:rPr>
        <w:t>C</w:t>
      </w:r>
      <w:r w:rsidRPr="001209DF">
        <w:rPr>
          <w:rFonts w:ascii="Arial" w:hAnsi="Arial" w:cs="Arial"/>
          <w:color w:val="000000" w:themeColor="text1"/>
          <w:sz w:val="20"/>
          <w:szCs w:val="20"/>
          <w:lang w:val="en-GB"/>
        </w:rPr>
        <w:t xml:space="preserve">onstitution perceived the political as the domain of ‘equal’ individual citizens where there was no room for communities and special rights.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FA0CCB" w:rsidRDefault="00CB5AAB" w:rsidP="00001F6A">
      <w:pPr>
        <w:pStyle w:val="ListParagraph"/>
        <w:numPr>
          <w:ilvl w:val="0"/>
          <w:numId w:val="1"/>
        </w:numPr>
        <w:spacing w:after="0" w:line="240" w:lineRule="auto"/>
        <w:ind w:left="567" w:hanging="283"/>
        <w:contextualSpacing w:val="0"/>
        <w:jc w:val="both"/>
        <w:rPr>
          <w:rFonts w:ascii="Arial" w:hAnsi="Arial" w:cs="Arial"/>
          <w:b/>
          <w:color w:val="000000" w:themeColor="text1"/>
          <w:sz w:val="20"/>
          <w:szCs w:val="20"/>
          <w:lang w:val="en-GB"/>
        </w:rPr>
      </w:pPr>
      <w:r w:rsidRPr="00FA0CCB">
        <w:rPr>
          <w:rFonts w:ascii="Arial" w:hAnsi="Arial" w:cs="Arial"/>
          <w:b/>
          <w:color w:val="000000" w:themeColor="text1"/>
          <w:sz w:val="20"/>
          <w:szCs w:val="20"/>
          <w:lang w:val="en-GB"/>
        </w:rPr>
        <w:t xml:space="preserve">Special Autonomies: Provisions on Protecting Human Rights  </w:t>
      </w:r>
    </w:p>
    <w:p w:rsidR="008E282F" w:rsidRPr="001209DF" w:rsidRDefault="008E282F" w:rsidP="00001F6A">
      <w:pPr>
        <w:pStyle w:val="ListParagraph"/>
        <w:spacing w:after="0" w:line="240" w:lineRule="auto"/>
        <w:ind w:left="0"/>
        <w:contextualSpacing w:val="0"/>
        <w:jc w:val="both"/>
        <w:rPr>
          <w:rFonts w:ascii="Arial" w:hAnsi="Arial" w:cs="Arial"/>
          <w:b/>
          <w:i/>
          <w:color w:val="000000" w:themeColor="text1"/>
          <w:sz w:val="20"/>
          <w:szCs w:val="20"/>
          <w:lang w:val="en-GB"/>
        </w:rPr>
      </w:pPr>
    </w:p>
    <w:p w:rsidR="00CB5AAB" w:rsidRPr="001209DF" w:rsidRDefault="008E282F" w:rsidP="00001F6A">
      <w:pPr>
        <w:spacing w:after="0" w:line="240" w:lineRule="auto"/>
        <w:jc w:val="both"/>
        <w:rPr>
          <w:rFonts w:ascii="Arial" w:eastAsia="Times New Roman" w:hAnsi="Arial" w:cs="Arial"/>
          <w:color w:val="000000" w:themeColor="text1"/>
          <w:sz w:val="20"/>
          <w:szCs w:val="20"/>
          <w:lang w:val="en-GB"/>
        </w:rPr>
      </w:pPr>
      <w:r w:rsidRPr="001209DF">
        <w:rPr>
          <w:rFonts w:ascii="Arial" w:hAnsi="Arial" w:cs="Arial"/>
          <w:color w:val="000000" w:themeColor="text1"/>
          <w:sz w:val="20"/>
          <w:szCs w:val="20"/>
          <w:lang w:val="en-GB"/>
        </w:rPr>
        <w:t xml:space="preserve">The </w:t>
      </w:r>
      <w:r w:rsidR="00CB5AAB" w:rsidRPr="001209DF">
        <w:rPr>
          <w:rFonts w:ascii="Arial" w:hAnsi="Arial" w:cs="Arial"/>
          <w:color w:val="000000" w:themeColor="text1"/>
          <w:sz w:val="20"/>
          <w:szCs w:val="20"/>
          <w:lang w:val="en-GB"/>
        </w:rPr>
        <w:t xml:space="preserve">Indian Constitution guarantees </w:t>
      </w:r>
      <w:r w:rsidR="00CB5AAB" w:rsidRPr="001209DF">
        <w:rPr>
          <w:rFonts w:ascii="Arial" w:hAnsi="Arial" w:cs="Arial"/>
          <w:b/>
          <w:color w:val="000000" w:themeColor="text1"/>
          <w:sz w:val="20"/>
          <w:szCs w:val="20"/>
          <w:lang w:val="en-GB"/>
        </w:rPr>
        <w:t>‘Fundamental Rights’</w:t>
      </w:r>
      <w:r w:rsidR="00CB5AAB" w:rsidRPr="001209DF">
        <w:rPr>
          <w:rFonts w:ascii="Arial" w:hAnsi="Arial" w:cs="Arial"/>
          <w:color w:val="000000" w:themeColor="text1"/>
          <w:sz w:val="20"/>
          <w:szCs w:val="20"/>
          <w:lang w:val="en-GB"/>
        </w:rPr>
        <w:t xml:space="preserve">: </w:t>
      </w:r>
      <w:r w:rsidR="00CB5AAB" w:rsidRPr="001209DF">
        <w:rPr>
          <w:rFonts w:ascii="Arial" w:hAnsi="Arial" w:cs="Arial"/>
          <w:b/>
          <w:color w:val="000000" w:themeColor="text1"/>
          <w:sz w:val="20"/>
          <w:szCs w:val="20"/>
          <w:lang w:val="en-GB"/>
        </w:rPr>
        <w:t>Article 19</w:t>
      </w:r>
      <w:r w:rsidR="00CB5AAB" w:rsidRPr="001209DF">
        <w:rPr>
          <w:rFonts w:ascii="Arial" w:hAnsi="Arial" w:cs="Arial"/>
          <w:color w:val="000000" w:themeColor="text1"/>
          <w:sz w:val="20"/>
          <w:szCs w:val="20"/>
          <w:lang w:val="en-GB"/>
        </w:rPr>
        <w:t xml:space="preserve"> guarantees to all Indian citizens five fundamental freedoms</w:t>
      </w:r>
      <w:r w:rsidRPr="001209DF">
        <w:rPr>
          <w:rFonts w:ascii="Arial" w:hAnsi="Arial" w:cs="Arial"/>
          <w:color w:val="000000" w:themeColor="text1"/>
          <w:sz w:val="20"/>
          <w:szCs w:val="20"/>
          <w:lang w:val="en-GB"/>
        </w:rPr>
        <w:t>:</w:t>
      </w:r>
      <w:r w:rsidR="00CB5AAB" w:rsidRPr="001209DF">
        <w:rPr>
          <w:rFonts w:ascii="Arial" w:hAnsi="Arial" w:cs="Arial"/>
          <w:color w:val="000000" w:themeColor="text1"/>
          <w:sz w:val="20"/>
          <w:szCs w:val="20"/>
          <w:lang w:val="en-GB"/>
        </w:rPr>
        <w:t xml:space="preserve"> </w:t>
      </w:r>
      <w:proofErr w:type="spellStart"/>
      <w:r w:rsidR="00CB5AAB" w:rsidRPr="001209DF">
        <w:rPr>
          <w:rFonts w:ascii="Arial" w:hAnsi="Arial" w:cs="Arial"/>
          <w:color w:val="000000" w:themeColor="text1"/>
          <w:sz w:val="20"/>
          <w:szCs w:val="20"/>
          <w:lang w:val="en-GB"/>
        </w:rPr>
        <w:t>i</w:t>
      </w:r>
      <w:proofErr w:type="spellEnd"/>
      <w:r w:rsidR="00CB5AAB" w:rsidRPr="001209DF">
        <w:rPr>
          <w:rFonts w:ascii="Arial" w:hAnsi="Arial" w:cs="Arial"/>
          <w:color w:val="000000" w:themeColor="text1"/>
          <w:sz w:val="20"/>
          <w:szCs w:val="20"/>
          <w:lang w:val="en-GB"/>
        </w:rPr>
        <w:t>)</w:t>
      </w:r>
      <w:r w:rsidR="00CB5AAB" w:rsidRPr="001209DF">
        <w:rPr>
          <w:rFonts w:ascii="Arial" w:eastAsia="Times New Roman" w:hAnsi="Arial" w:cs="Arial"/>
          <w:color w:val="000000" w:themeColor="text1"/>
          <w:sz w:val="20"/>
          <w:szCs w:val="20"/>
          <w:lang w:val="en-GB"/>
        </w:rPr>
        <w:t xml:space="preserve"> Freedom of Speech and Expression; ii) Freedom of Assembly; iii) Freedom </w:t>
      </w:r>
      <w:r w:rsidRPr="001209DF">
        <w:rPr>
          <w:rFonts w:ascii="Arial" w:eastAsia="Times New Roman" w:hAnsi="Arial" w:cs="Arial"/>
          <w:color w:val="000000" w:themeColor="text1"/>
          <w:sz w:val="20"/>
          <w:szCs w:val="20"/>
          <w:lang w:val="en-GB"/>
        </w:rPr>
        <w:t>t</w:t>
      </w:r>
      <w:r w:rsidR="00CB5AAB" w:rsidRPr="001209DF">
        <w:rPr>
          <w:rFonts w:ascii="Arial" w:eastAsia="Times New Roman" w:hAnsi="Arial" w:cs="Arial"/>
          <w:color w:val="000000" w:themeColor="text1"/>
          <w:sz w:val="20"/>
          <w:szCs w:val="20"/>
          <w:lang w:val="en-GB"/>
        </w:rPr>
        <w:t xml:space="preserve">o form Associations; iv) Freedom of Movement; v) Freedom of Residence and Settlement; vi) Freedom of Profession, Occupation, Trade and Business. Article 14 speaks of equality and Article 15 prohibits discrimination.   </w:t>
      </w:r>
    </w:p>
    <w:p w:rsidR="00CB5AAB" w:rsidRPr="001209DF" w:rsidRDefault="00CB5AAB" w:rsidP="00001F6A">
      <w:pPr>
        <w:spacing w:after="0" w:line="240" w:lineRule="auto"/>
        <w:jc w:val="both"/>
        <w:rPr>
          <w:rFonts w:ascii="Arial" w:eastAsia="Times New Roman"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eastAsia="Times New Roman" w:hAnsi="Arial" w:cs="Arial"/>
          <w:color w:val="000000" w:themeColor="text1"/>
          <w:sz w:val="20"/>
          <w:szCs w:val="20"/>
          <w:lang w:val="en-GB"/>
        </w:rPr>
        <w:t>In addition Article 21 provides for Protection of life and personal liberty; Art</w:t>
      </w:r>
      <w:r w:rsidR="008E282F" w:rsidRPr="001209DF">
        <w:rPr>
          <w:rFonts w:ascii="Arial" w:eastAsia="Times New Roman" w:hAnsi="Arial" w:cs="Arial"/>
          <w:color w:val="000000" w:themeColor="text1"/>
          <w:sz w:val="20"/>
          <w:szCs w:val="20"/>
          <w:lang w:val="en-GB"/>
        </w:rPr>
        <w:t>.</w:t>
      </w:r>
      <w:r w:rsidRPr="001209DF">
        <w:rPr>
          <w:rFonts w:ascii="Arial" w:eastAsia="Times New Roman" w:hAnsi="Arial" w:cs="Arial"/>
          <w:color w:val="000000" w:themeColor="text1"/>
          <w:sz w:val="20"/>
          <w:szCs w:val="20"/>
          <w:lang w:val="en-GB"/>
        </w:rPr>
        <w:t xml:space="preserve"> 22</w:t>
      </w:r>
      <w:r w:rsidR="008E282F" w:rsidRPr="001209DF">
        <w:rPr>
          <w:rFonts w:ascii="Arial" w:eastAsia="Times New Roman" w:hAnsi="Arial" w:cs="Arial"/>
          <w:color w:val="000000" w:themeColor="text1"/>
          <w:sz w:val="20"/>
          <w:szCs w:val="20"/>
          <w:lang w:val="en-GB"/>
        </w:rPr>
        <w:t>,</w:t>
      </w:r>
      <w:r w:rsidRPr="001209DF">
        <w:rPr>
          <w:rFonts w:ascii="Arial" w:eastAsia="Times New Roman" w:hAnsi="Arial" w:cs="Arial"/>
          <w:color w:val="000000" w:themeColor="text1"/>
          <w:sz w:val="20"/>
          <w:szCs w:val="20"/>
          <w:lang w:val="en-GB"/>
        </w:rPr>
        <w:t xml:space="preserve"> Protection against arrest and detention in certain cases; </w:t>
      </w:r>
      <w:r w:rsidRPr="001209DF">
        <w:rPr>
          <w:rFonts w:ascii="Arial" w:hAnsi="Arial" w:cs="Arial"/>
          <w:color w:val="000000" w:themeColor="text1"/>
          <w:sz w:val="20"/>
          <w:szCs w:val="20"/>
          <w:lang w:val="en-GB"/>
        </w:rPr>
        <w:t>Article 26</w:t>
      </w:r>
      <w:r w:rsidR="008E282F"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Freedom to manage religious affair</w:t>
      </w:r>
      <w:r w:rsidR="008E282F" w:rsidRPr="001209DF">
        <w:rPr>
          <w:rFonts w:ascii="Arial" w:hAnsi="Arial" w:cs="Arial"/>
          <w:color w:val="000000" w:themeColor="text1"/>
          <w:sz w:val="20"/>
          <w:szCs w:val="20"/>
          <w:lang w:val="en-GB"/>
        </w:rPr>
        <w:t>s</w:t>
      </w:r>
      <w:r w:rsidRPr="001209DF">
        <w:rPr>
          <w:rFonts w:ascii="Arial" w:hAnsi="Arial" w:cs="Arial"/>
          <w:color w:val="000000" w:themeColor="text1"/>
          <w:sz w:val="20"/>
          <w:szCs w:val="20"/>
          <w:lang w:val="en-GB"/>
        </w:rPr>
        <w:t xml:space="preserve"> and Article 32</w:t>
      </w:r>
      <w:r w:rsidR="008E282F" w:rsidRPr="001209DF">
        <w:rPr>
          <w:rFonts w:ascii="Arial" w:hAnsi="Arial" w:cs="Arial"/>
          <w:color w:val="000000" w:themeColor="text1"/>
          <w:sz w:val="20"/>
          <w:szCs w:val="20"/>
          <w:lang w:val="en-GB"/>
        </w:rPr>
        <w:t>, t</w:t>
      </w:r>
      <w:r w:rsidRPr="001209DF">
        <w:rPr>
          <w:rFonts w:ascii="Arial" w:hAnsi="Arial" w:cs="Arial"/>
          <w:color w:val="000000" w:themeColor="text1"/>
          <w:sz w:val="20"/>
          <w:szCs w:val="20"/>
          <w:lang w:val="en-GB"/>
        </w:rPr>
        <w:t>he right to move the Supreme Court in case of their violation. The judiciary has on occasion played a proactive role in upholding fundamental rights and expanding socio-economic rights listed in the directive principles. Article 51c enunciates the duty to foster respect for international humanitarian law and treat</w:t>
      </w:r>
      <w:r w:rsidR="008E282F" w:rsidRPr="001209DF">
        <w:rPr>
          <w:rFonts w:ascii="Arial" w:hAnsi="Arial" w:cs="Arial"/>
          <w:color w:val="000000" w:themeColor="text1"/>
          <w:sz w:val="20"/>
          <w:szCs w:val="20"/>
          <w:lang w:val="en-GB"/>
        </w:rPr>
        <w:t>y</w:t>
      </w:r>
      <w:r w:rsidRPr="001209DF">
        <w:rPr>
          <w:rFonts w:ascii="Arial" w:hAnsi="Arial" w:cs="Arial"/>
          <w:color w:val="000000" w:themeColor="text1"/>
          <w:sz w:val="20"/>
          <w:szCs w:val="20"/>
          <w:lang w:val="en-GB"/>
        </w:rPr>
        <w:t xml:space="preserve"> obligations.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b/>
          <w:color w:val="000000" w:themeColor="text1"/>
          <w:sz w:val="20"/>
          <w:szCs w:val="20"/>
          <w:lang w:val="en-GB"/>
        </w:rPr>
        <w:t>Article 371A</w:t>
      </w:r>
      <w:r w:rsidRPr="001209DF">
        <w:rPr>
          <w:rFonts w:ascii="Arial" w:hAnsi="Arial" w:cs="Arial"/>
          <w:color w:val="000000" w:themeColor="text1"/>
          <w:sz w:val="20"/>
          <w:szCs w:val="20"/>
          <w:lang w:val="en-GB"/>
        </w:rPr>
        <w:t xml:space="preserve"> specifies </w:t>
      </w:r>
      <w:r w:rsidR="008E282F" w:rsidRPr="001209DF">
        <w:rPr>
          <w:rFonts w:ascii="Arial" w:hAnsi="Arial" w:cs="Arial"/>
          <w:color w:val="000000" w:themeColor="text1"/>
          <w:sz w:val="20"/>
          <w:szCs w:val="20"/>
          <w:lang w:val="en-GB"/>
        </w:rPr>
        <w:t xml:space="preserve">a </w:t>
      </w:r>
      <w:r w:rsidRPr="001209DF">
        <w:rPr>
          <w:rFonts w:ascii="Arial" w:hAnsi="Arial" w:cs="Arial"/>
          <w:color w:val="000000" w:themeColor="text1"/>
          <w:sz w:val="20"/>
          <w:szCs w:val="20"/>
          <w:lang w:val="en-GB"/>
        </w:rPr>
        <w:t xml:space="preserve">special provision with respect to the State of Nagaland (1963) and derives from the 16-point Agreement between the GOI and the Naga People’s </w:t>
      </w:r>
      <w:r w:rsidRPr="00AF0071">
        <w:rPr>
          <w:rFonts w:ascii="Arial" w:hAnsi="Arial" w:cs="Arial"/>
          <w:color w:val="000000" w:themeColor="text1"/>
          <w:sz w:val="20"/>
          <w:szCs w:val="20"/>
          <w:lang w:val="en-GB"/>
        </w:rPr>
        <w:t>Convention, July 1960.</w:t>
      </w:r>
      <w:r w:rsidR="008E282F" w:rsidRPr="00AF0071">
        <w:rPr>
          <w:rFonts w:ascii="Arial" w:hAnsi="Arial" w:cs="Arial"/>
          <w:color w:val="000000" w:themeColor="text1"/>
          <w:sz w:val="20"/>
          <w:szCs w:val="20"/>
          <w:lang w:val="en-GB"/>
        </w:rPr>
        <w:t xml:space="preserve"> </w:t>
      </w:r>
      <w:r w:rsidRPr="00AF0071">
        <w:rPr>
          <w:rFonts w:ascii="Arial" w:hAnsi="Arial" w:cs="Arial"/>
          <w:color w:val="000000" w:themeColor="text1"/>
          <w:sz w:val="20"/>
          <w:szCs w:val="20"/>
          <w:lang w:val="en-GB"/>
        </w:rPr>
        <w:t>Art 371A provides that</w:t>
      </w:r>
      <w:r w:rsidR="008E282F" w:rsidRPr="00AF0071">
        <w:rPr>
          <w:rFonts w:ascii="Arial" w:hAnsi="Arial" w:cs="Arial"/>
          <w:color w:val="000000" w:themeColor="text1"/>
          <w:sz w:val="20"/>
          <w:szCs w:val="20"/>
          <w:lang w:val="en-GB"/>
        </w:rPr>
        <w:t xml:space="preserve">: </w:t>
      </w:r>
      <w:r w:rsidRPr="00AF0071">
        <w:rPr>
          <w:rFonts w:ascii="Arial" w:hAnsi="Arial" w:cs="Arial"/>
          <w:color w:val="000000" w:themeColor="text1"/>
          <w:sz w:val="20"/>
          <w:szCs w:val="20"/>
          <w:lang w:val="en-GB"/>
        </w:rPr>
        <w:t>(1)</w:t>
      </w:r>
      <w:hyperlink r:id="rId9" w:history="1">
        <w:r w:rsidRPr="00AF0071">
          <w:rPr>
            <w:rFonts w:ascii="Arial" w:eastAsia="Times New Roman" w:hAnsi="Arial" w:cs="Arial"/>
            <w:color w:val="000000" w:themeColor="text1"/>
            <w:sz w:val="20"/>
            <w:szCs w:val="20"/>
            <w:lang w:val="en-GB"/>
          </w:rPr>
          <w:t>(a)</w:t>
        </w:r>
      </w:hyperlink>
      <w:r w:rsidR="008E282F" w:rsidRPr="00AF0071">
        <w:rPr>
          <w:rFonts w:ascii="Arial" w:eastAsia="Times New Roman" w:hAnsi="Arial" w:cs="Arial"/>
          <w:color w:val="000000" w:themeColor="text1"/>
          <w:sz w:val="20"/>
          <w:szCs w:val="20"/>
          <w:lang w:val="en-GB"/>
        </w:rPr>
        <w:t xml:space="preserve"> </w:t>
      </w:r>
      <w:r w:rsidRPr="00AF0071">
        <w:rPr>
          <w:rFonts w:ascii="Arial" w:eastAsia="Times New Roman" w:hAnsi="Arial" w:cs="Arial"/>
          <w:color w:val="000000" w:themeColor="text1"/>
          <w:sz w:val="20"/>
          <w:szCs w:val="20"/>
          <w:lang w:val="en-GB"/>
        </w:rPr>
        <w:t xml:space="preserve">no Act of Parliament in respect of </w:t>
      </w:r>
      <w:hyperlink r:id="rId10" w:history="1">
        <w:r w:rsidRPr="00AF0071">
          <w:rPr>
            <w:rFonts w:ascii="Arial" w:eastAsia="Times New Roman" w:hAnsi="Arial" w:cs="Arial"/>
            <w:color w:val="000000" w:themeColor="text1"/>
            <w:sz w:val="20"/>
            <w:szCs w:val="20"/>
            <w:lang w:val="en-GB"/>
          </w:rPr>
          <w:t>(</w:t>
        </w:r>
        <w:proofErr w:type="spellStart"/>
        <w:r w:rsidRPr="00AF0071">
          <w:rPr>
            <w:rFonts w:ascii="Arial" w:eastAsia="Times New Roman" w:hAnsi="Arial" w:cs="Arial"/>
            <w:color w:val="000000" w:themeColor="text1"/>
            <w:sz w:val="20"/>
            <w:szCs w:val="20"/>
            <w:lang w:val="en-GB"/>
          </w:rPr>
          <w:t>i</w:t>
        </w:r>
        <w:proofErr w:type="spellEnd"/>
        <w:r w:rsidRPr="00AF0071">
          <w:rPr>
            <w:rFonts w:ascii="Arial" w:eastAsia="Times New Roman" w:hAnsi="Arial" w:cs="Arial"/>
            <w:color w:val="000000" w:themeColor="text1"/>
            <w:sz w:val="20"/>
            <w:szCs w:val="20"/>
            <w:lang w:val="en-GB"/>
          </w:rPr>
          <w:t>)</w:t>
        </w:r>
      </w:hyperlink>
      <w:r w:rsidR="008E282F" w:rsidRPr="00AF0071">
        <w:rPr>
          <w:rFonts w:ascii="Arial" w:eastAsia="Times New Roman" w:hAnsi="Arial" w:cs="Arial"/>
          <w:color w:val="000000" w:themeColor="text1"/>
          <w:sz w:val="20"/>
          <w:szCs w:val="20"/>
          <w:lang w:val="en-GB"/>
        </w:rPr>
        <w:t xml:space="preserve"> </w:t>
      </w:r>
      <w:r w:rsidRPr="00AF0071">
        <w:rPr>
          <w:rFonts w:ascii="Arial" w:eastAsia="Times New Roman" w:hAnsi="Arial" w:cs="Arial"/>
          <w:color w:val="000000" w:themeColor="text1"/>
          <w:sz w:val="20"/>
          <w:szCs w:val="20"/>
          <w:lang w:val="en-GB"/>
        </w:rPr>
        <w:t xml:space="preserve">religious or social practices of the </w:t>
      </w:r>
      <w:proofErr w:type="spellStart"/>
      <w:r w:rsidRPr="00AF0071">
        <w:rPr>
          <w:rFonts w:ascii="Arial" w:eastAsia="Times New Roman" w:hAnsi="Arial" w:cs="Arial"/>
          <w:color w:val="000000" w:themeColor="text1"/>
          <w:sz w:val="20"/>
          <w:szCs w:val="20"/>
          <w:lang w:val="en-GB"/>
        </w:rPr>
        <w:t>Nagas</w:t>
      </w:r>
      <w:proofErr w:type="spellEnd"/>
      <w:r w:rsidR="008E282F" w:rsidRPr="00AF0071">
        <w:rPr>
          <w:rFonts w:ascii="Arial" w:eastAsia="Times New Roman" w:hAnsi="Arial" w:cs="Arial"/>
          <w:color w:val="000000" w:themeColor="text1"/>
          <w:sz w:val="20"/>
          <w:szCs w:val="20"/>
          <w:lang w:val="en-GB"/>
        </w:rPr>
        <w:t>;</w:t>
      </w:r>
      <w:r w:rsidRPr="00AF0071">
        <w:rPr>
          <w:rFonts w:ascii="Arial" w:eastAsia="Times New Roman" w:hAnsi="Arial" w:cs="Arial"/>
          <w:color w:val="000000" w:themeColor="text1"/>
          <w:sz w:val="20"/>
          <w:szCs w:val="20"/>
          <w:lang w:val="en-GB"/>
        </w:rPr>
        <w:t xml:space="preserve"> </w:t>
      </w:r>
      <w:hyperlink r:id="rId11" w:history="1">
        <w:r w:rsidRPr="00AF0071">
          <w:rPr>
            <w:rFonts w:ascii="Arial" w:eastAsia="Times New Roman" w:hAnsi="Arial" w:cs="Arial"/>
            <w:color w:val="000000" w:themeColor="text1"/>
            <w:sz w:val="20"/>
            <w:szCs w:val="20"/>
            <w:lang w:val="en-GB"/>
          </w:rPr>
          <w:t>(ii)</w:t>
        </w:r>
      </w:hyperlink>
      <w:r w:rsidR="008E282F" w:rsidRPr="00AF0071">
        <w:rPr>
          <w:rFonts w:ascii="Arial" w:eastAsia="Times New Roman" w:hAnsi="Arial" w:cs="Arial"/>
          <w:color w:val="000000" w:themeColor="text1"/>
          <w:sz w:val="20"/>
          <w:szCs w:val="20"/>
          <w:lang w:val="en-GB"/>
        </w:rPr>
        <w:t xml:space="preserve"> </w:t>
      </w:r>
      <w:r w:rsidRPr="00AF0071">
        <w:rPr>
          <w:rFonts w:ascii="Arial" w:eastAsia="Times New Roman" w:hAnsi="Arial" w:cs="Arial"/>
          <w:color w:val="000000" w:themeColor="text1"/>
          <w:sz w:val="20"/>
          <w:szCs w:val="20"/>
          <w:lang w:val="en-GB"/>
        </w:rPr>
        <w:t>Naga customary law and procedure</w:t>
      </w:r>
      <w:r w:rsidR="008E282F" w:rsidRPr="00AF0071">
        <w:rPr>
          <w:rFonts w:ascii="Arial" w:eastAsia="Times New Roman" w:hAnsi="Arial" w:cs="Arial"/>
          <w:color w:val="000000" w:themeColor="text1"/>
          <w:sz w:val="20"/>
          <w:szCs w:val="20"/>
          <w:lang w:val="en-GB"/>
        </w:rPr>
        <w:t>;</w:t>
      </w:r>
      <w:r w:rsidRPr="00AF0071">
        <w:rPr>
          <w:rFonts w:ascii="Arial" w:eastAsia="Times New Roman" w:hAnsi="Arial" w:cs="Arial"/>
          <w:color w:val="000000" w:themeColor="text1"/>
          <w:sz w:val="20"/>
          <w:szCs w:val="20"/>
          <w:lang w:val="en-GB"/>
        </w:rPr>
        <w:t xml:space="preserve"> </w:t>
      </w:r>
      <w:hyperlink r:id="rId12" w:history="1">
        <w:r w:rsidRPr="00AF0071">
          <w:rPr>
            <w:rFonts w:ascii="Arial" w:eastAsia="Times New Roman" w:hAnsi="Arial" w:cs="Arial"/>
            <w:color w:val="000000" w:themeColor="text1"/>
            <w:sz w:val="20"/>
            <w:szCs w:val="20"/>
            <w:lang w:val="en-GB"/>
          </w:rPr>
          <w:t>(iii)</w:t>
        </w:r>
      </w:hyperlink>
      <w:r w:rsidR="008E282F" w:rsidRPr="00AF0071">
        <w:rPr>
          <w:rFonts w:ascii="Arial" w:eastAsia="Times New Roman" w:hAnsi="Arial" w:cs="Arial"/>
          <w:color w:val="000000" w:themeColor="text1"/>
          <w:sz w:val="20"/>
          <w:szCs w:val="20"/>
          <w:lang w:val="en-GB"/>
        </w:rPr>
        <w:t xml:space="preserve"> </w:t>
      </w:r>
      <w:r w:rsidRPr="00AF0071">
        <w:rPr>
          <w:rFonts w:ascii="Arial" w:eastAsia="Times New Roman" w:hAnsi="Arial" w:cs="Arial"/>
          <w:color w:val="000000" w:themeColor="text1"/>
          <w:sz w:val="20"/>
          <w:szCs w:val="20"/>
          <w:lang w:val="en-GB"/>
        </w:rPr>
        <w:t>administration of civil and criminal justice involving decisions according to Naga customary law</w:t>
      </w:r>
      <w:r w:rsidR="008E282F" w:rsidRPr="00AF0071">
        <w:rPr>
          <w:rFonts w:ascii="Arial" w:eastAsia="Times New Roman" w:hAnsi="Arial" w:cs="Arial"/>
          <w:color w:val="000000" w:themeColor="text1"/>
          <w:sz w:val="20"/>
          <w:szCs w:val="20"/>
          <w:lang w:val="en-GB"/>
        </w:rPr>
        <w:t>;</w:t>
      </w:r>
      <w:r w:rsidRPr="00AF0071">
        <w:rPr>
          <w:rFonts w:ascii="Arial" w:eastAsia="Times New Roman" w:hAnsi="Arial" w:cs="Arial"/>
          <w:color w:val="000000" w:themeColor="text1"/>
          <w:sz w:val="20"/>
          <w:szCs w:val="20"/>
          <w:lang w:val="en-GB"/>
        </w:rPr>
        <w:t xml:space="preserve"> </w:t>
      </w:r>
      <w:hyperlink r:id="rId13" w:history="1">
        <w:r w:rsidRPr="00AF0071">
          <w:rPr>
            <w:rFonts w:ascii="Arial" w:eastAsia="Times New Roman" w:hAnsi="Arial" w:cs="Arial"/>
            <w:color w:val="000000" w:themeColor="text1"/>
            <w:sz w:val="20"/>
            <w:szCs w:val="20"/>
            <w:lang w:val="en-GB"/>
          </w:rPr>
          <w:t>(iv)</w:t>
        </w:r>
      </w:hyperlink>
      <w:r w:rsidRPr="00AF0071">
        <w:rPr>
          <w:rFonts w:ascii="Arial" w:eastAsia="Times New Roman" w:hAnsi="Arial" w:cs="Arial"/>
          <w:color w:val="000000" w:themeColor="text1"/>
          <w:sz w:val="20"/>
          <w:szCs w:val="20"/>
          <w:lang w:val="en-GB"/>
        </w:rPr>
        <w:t> ownership and transfer of land and its resources shall apply to the State of Nagaland unless the Legislative Assembly of Nagaland by a resolution so decides.</w:t>
      </w:r>
      <w:r w:rsidR="008E282F" w:rsidRPr="00AF0071">
        <w:rPr>
          <w:rFonts w:ascii="Arial" w:eastAsia="Times New Roman" w:hAnsi="Arial" w:cs="Arial"/>
          <w:color w:val="000000" w:themeColor="text1"/>
          <w:sz w:val="20"/>
          <w:szCs w:val="20"/>
          <w:lang w:val="en-GB"/>
        </w:rPr>
        <w:t xml:space="preserve"> </w:t>
      </w:r>
      <w:r w:rsidRPr="00AF0071">
        <w:rPr>
          <w:rFonts w:ascii="Arial" w:eastAsia="Times New Roman" w:hAnsi="Arial" w:cs="Arial"/>
          <w:color w:val="000000" w:themeColor="text1"/>
          <w:sz w:val="20"/>
          <w:szCs w:val="20"/>
          <w:lang w:val="en-GB"/>
        </w:rPr>
        <w:t>The colonial Inner</w:t>
      </w:r>
      <w:r w:rsidRPr="001209DF">
        <w:rPr>
          <w:rFonts w:ascii="Arial" w:eastAsia="Times New Roman" w:hAnsi="Arial" w:cs="Arial"/>
          <w:color w:val="000000" w:themeColor="text1"/>
          <w:sz w:val="20"/>
          <w:szCs w:val="20"/>
          <w:lang w:val="en-GB"/>
        </w:rPr>
        <w:t xml:space="preserve"> Line regulation restricts access to Nagaland (Mizoram and Arunachal Pradesh). </w:t>
      </w:r>
      <w:r w:rsidRPr="001209DF">
        <w:rPr>
          <w:rFonts w:ascii="Arial" w:hAnsi="Arial" w:cs="Arial"/>
          <w:color w:val="000000" w:themeColor="text1"/>
          <w:sz w:val="20"/>
          <w:szCs w:val="20"/>
          <w:lang w:val="en-GB"/>
        </w:rPr>
        <w:t xml:space="preserve">Central budgetary assistance to special category states of the Northeast (Article 371A-H) is over 80 percent in grants in comparison with 34 percent for other states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b/>
          <w:color w:val="000000" w:themeColor="text1"/>
          <w:sz w:val="20"/>
          <w:szCs w:val="20"/>
          <w:lang w:val="en-GB"/>
        </w:rPr>
        <w:t>Caveats &amp; Ironies of Special Status: Enabling or Disabling Rights</w:t>
      </w:r>
      <w:r w:rsidRPr="001209DF">
        <w:rPr>
          <w:rFonts w:ascii="Arial" w:hAnsi="Arial" w:cs="Arial"/>
          <w:color w:val="000000" w:themeColor="text1"/>
          <w:sz w:val="20"/>
          <w:szCs w:val="20"/>
          <w:lang w:val="en-GB"/>
        </w:rPr>
        <w:t xml:space="preserve"> </w:t>
      </w:r>
    </w:p>
    <w:p w:rsidR="00B90A3C" w:rsidRPr="001209DF" w:rsidRDefault="00B90A3C" w:rsidP="00001F6A">
      <w:pPr>
        <w:spacing w:after="0" w:line="240" w:lineRule="auto"/>
        <w:jc w:val="both"/>
        <w:rPr>
          <w:rFonts w:ascii="Arial" w:hAnsi="Arial" w:cs="Arial"/>
          <w:color w:val="000000" w:themeColor="text1"/>
          <w:sz w:val="20"/>
          <w:szCs w:val="20"/>
          <w:lang w:val="en-GB"/>
        </w:rPr>
      </w:pPr>
    </w:p>
    <w:p w:rsidR="00CB5AAB"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No provision exists for protection of the rights of ‘minorities’ in the statutory provisions of the ethnic Naga</w:t>
      </w:r>
      <w:r w:rsidR="004360E5">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 xml:space="preserve">homeland under Article 371A. The presumption is that these states are mono-ethnic spaces, an assumption less problematic in the ethnically homogenous Nagaland and Mizoram, but hugely contentious for instance in the Bodo Autonomous Territorial Area (BATA) in which the ethnic Bodo plains tribes are no longer a majority. The Sahara region too </w:t>
      </w:r>
      <w:r w:rsidR="00D47947">
        <w:rPr>
          <w:rFonts w:ascii="Arial" w:hAnsi="Arial" w:cs="Arial"/>
          <w:color w:val="000000" w:themeColor="text1"/>
          <w:sz w:val="20"/>
          <w:szCs w:val="20"/>
          <w:lang w:val="en-GB"/>
        </w:rPr>
        <w:t xml:space="preserve">could </w:t>
      </w:r>
      <w:r w:rsidRPr="001209DF">
        <w:rPr>
          <w:rFonts w:ascii="Arial" w:hAnsi="Arial" w:cs="Arial"/>
          <w:color w:val="000000" w:themeColor="text1"/>
          <w:sz w:val="20"/>
          <w:szCs w:val="20"/>
          <w:lang w:val="en-GB"/>
        </w:rPr>
        <w:t xml:space="preserve">confront the challenge of </w:t>
      </w:r>
      <w:r w:rsidR="00D47947">
        <w:rPr>
          <w:rFonts w:ascii="Arial" w:hAnsi="Arial" w:cs="Arial"/>
          <w:color w:val="000000" w:themeColor="text1"/>
          <w:sz w:val="20"/>
          <w:szCs w:val="20"/>
          <w:lang w:val="en-GB"/>
        </w:rPr>
        <w:t xml:space="preserve">changing demographics </w:t>
      </w:r>
      <w:r w:rsidR="004360E5" w:rsidRPr="00D47947">
        <w:rPr>
          <w:rFonts w:ascii="Arial" w:hAnsi="Arial" w:cs="Arial"/>
          <w:color w:val="FF0000"/>
          <w:sz w:val="20"/>
          <w:szCs w:val="20"/>
          <w:lang w:val="en-GB"/>
        </w:rPr>
        <w:t xml:space="preserve">following the </w:t>
      </w:r>
      <w:r w:rsidR="00D47947" w:rsidRPr="00D47947">
        <w:rPr>
          <w:rFonts w:ascii="Arial" w:hAnsi="Arial" w:cs="Arial"/>
          <w:color w:val="FF0000"/>
          <w:sz w:val="20"/>
          <w:szCs w:val="20"/>
          <w:lang w:val="en-GB"/>
        </w:rPr>
        <w:t xml:space="preserve">growing </w:t>
      </w:r>
      <w:r w:rsidR="004360E5" w:rsidRPr="00D47947">
        <w:rPr>
          <w:rFonts w:ascii="Arial" w:hAnsi="Arial" w:cs="Arial"/>
          <w:color w:val="FF0000"/>
          <w:sz w:val="20"/>
          <w:szCs w:val="20"/>
          <w:lang w:val="en-GB"/>
        </w:rPr>
        <w:t xml:space="preserve">settlement of </w:t>
      </w:r>
      <w:r w:rsidR="00D47947" w:rsidRPr="00D47947">
        <w:rPr>
          <w:rFonts w:ascii="Arial" w:hAnsi="Arial" w:cs="Arial"/>
          <w:color w:val="FF0000"/>
          <w:sz w:val="20"/>
          <w:szCs w:val="20"/>
          <w:lang w:val="en-GB"/>
        </w:rPr>
        <w:t xml:space="preserve">Moroccans amidst the Saharawi people. </w:t>
      </w:r>
    </w:p>
    <w:p w:rsidR="00B90A3C" w:rsidRDefault="00B90A3C" w:rsidP="00001F6A">
      <w:pPr>
        <w:spacing w:after="0" w:line="240" w:lineRule="auto"/>
        <w:jc w:val="both"/>
        <w:rPr>
          <w:rFonts w:ascii="Arial" w:hAnsi="Arial" w:cs="Arial"/>
          <w:color w:val="000000" w:themeColor="text1"/>
          <w:sz w:val="20"/>
          <w:szCs w:val="20"/>
          <w:lang w:val="en-GB"/>
        </w:rPr>
      </w:pPr>
    </w:p>
    <w:p w:rsidR="00E47B70" w:rsidRPr="00AC41F3" w:rsidRDefault="003261B8" w:rsidP="00E47B70">
      <w:pPr>
        <w:autoSpaceDE w:val="0"/>
        <w:autoSpaceDN w:val="0"/>
        <w:adjustRightInd w:val="0"/>
        <w:spacing w:after="0" w:line="240" w:lineRule="auto"/>
        <w:jc w:val="both"/>
        <w:rPr>
          <w:rFonts w:ascii="Arial" w:hAnsi="Arial" w:cs="Arial"/>
          <w:color w:val="FF0000"/>
          <w:sz w:val="20"/>
          <w:szCs w:val="20"/>
          <w:lang w:val="en-GB"/>
        </w:rPr>
      </w:pPr>
      <w:r w:rsidRPr="00AC41F3">
        <w:rPr>
          <w:rFonts w:ascii="Arial" w:hAnsi="Arial" w:cs="Arial"/>
          <w:color w:val="FF0000"/>
          <w:sz w:val="20"/>
          <w:szCs w:val="20"/>
          <w:lang w:val="en-GB"/>
        </w:rPr>
        <w:t>In the current Moroccan Constitution,</w:t>
      </w:r>
      <w:r w:rsidRPr="00AC41F3">
        <w:rPr>
          <w:rStyle w:val="FootnoteReference"/>
          <w:rFonts w:ascii="Arial" w:hAnsi="Arial" w:cs="Arial"/>
          <w:color w:val="FF0000"/>
          <w:sz w:val="20"/>
          <w:szCs w:val="20"/>
          <w:lang w:val="en-GB"/>
        </w:rPr>
        <w:footnoteReference w:id="22"/>
      </w:r>
      <w:r w:rsidRPr="00AC41F3">
        <w:rPr>
          <w:rFonts w:ascii="Arial" w:hAnsi="Arial" w:cs="Arial"/>
          <w:color w:val="FF0000"/>
          <w:sz w:val="20"/>
          <w:szCs w:val="20"/>
          <w:lang w:val="en-GB"/>
        </w:rPr>
        <w:t xml:space="preserve"> just like in the Indian one, all fundamental rights and liberties are guaranteed to all citizens of the Kingdom, which will include the populations of the autonomous Sahara Region. This is reinforced by Article 25 of the Initiative, which states, “[t]he Region’s populations shall enjoy all the guarantees afforded by the Moroccan Constitution in the area of human rights as they are universally recognized.” But the populations of the autonomous Sahara Region will enjoy additional privileges: according to Article 12 of the Initiative, they “shall exercise powers, within the Region’s territorial boundaries, mainly over the following: </w:t>
      </w:r>
      <w:r w:rsidR="00AC41F3" w:rsidRPr="00AC41F3">
        <w:rPr>
          <w:rFonts w:ascii="Arial" w:hAnsi="Arial" w:cs="Arial"/>
          <w:color w:val="FF0000"/>
          <w:sz w:val="20"/>
          <w:szCs w:val="20"/>
          <w:lang w:val="en-GB"/>
        </w:rPr>
        <w:t xml:space="preserve">[the] </w:t>
      </w:r>
      <w:r w:rsidRPr="00AC41F3">
        <w:rPr>
          <w:rFonts w:ascii="Arial" w:hAnsi="Arial" w:cs="Arial"/>
          <w:color w:val="FF0000"/>
          <w:sz w:val="20"/>
          <w:szCs w:val="20"/>
          <w:lang w:val="en-GB"/>
        </w:rPr>
        <w:t xml:space="preserve">Region’s local administration, local police force and jurisdictions; in the economic sector: economic development, regional planning, promotion of investment, trade, industry, tourism and agriculture; </w:t>
      </w:r>
      <w:r w:rsidR="00AC41F3" w:rsidRPr="00AC41F3">
        <w:rPr>
          <w:rFonts w:ascii="Arial" w:hAnsi="Arial" w:cs="Arial"/>
          <w:color w:val="FF0000"/>
          <w:sz w:val="20"/>
          <w:szCs w:val="20"/>
          <w:lang w:val="en-GB"/>
        </w:rPr>
        <w:t xml:space="preserve"> [the] </w:t>
      </w:r>
      <w:r w:rsidRPr="00AC41F3">
        <w:rPr>
          <w:rFonts w:ascii="Arial" w:hAnsi="Arial" w:cs="Arial"/>
          <w:color w:val="FF0000"/>
          <w:sz w:val="20"/>
          <w:szCs w:val="20"/>
          <w:lang w:val="en-GB"/>
        </w:rPr>
        <w:t xml:space="preserve">Region’s budget and taxation; infrastructure: water, hydraulic facilities, electricity, public works and transportation; in the social sector: housing, education, health, employment, sports, social welfare and social security; cultural affairs, including promotion of the Saharan </w:t>
      </w:r>
      <w:proofErr w:type="spellStart"/>
      <w:r w:rsidRPr="00AC41F3">
        <w:rPr>
          <w:rFonts w:ascii="Arial" w:hAnsi="Arial" w:cs="Arial"/>
          <w:color w:val="FF0000"/>
          <w:sz w:val="20"/>
          <w:szCs w:val="20"/>
          <w:lang w:val="en-GB"/>
        </w:rPr>
        <w:t>Hassani</w:t>
      </w:r>
      <w:proofErr w:type="spellEnd"/>
      <w:r w:rsidRPr="00AC41F3">
        <w:rPr>
          <w:rFonts w:ascii="Arial" w:hAnsi="Arial" w:cs="Arial"/>
          <w:color w:val="FF0000"/>
          <w:sz w:val="20"/>
          <w:szCs w:val="20"/>
          <w:lang w:val="en-GB"/>
        </w:rPr>
        <w:t xml:space="preserve"> cultural heritage; and environment.”</w:t>
      </w:r>
      <w:r w:rsidR="00AC41F3" w:rsidRPr="00AC41F3">
        <w:rPr>
          <w:rFonts w:ascii="Arial" w:hAnsi="Arial" w:cs="Arial"/>
          <w:color w:val="FF0000"/>
          <w:sz w:val="20"/>
          <w:szCs w:val="20"/>
          <w:lang w:val="en-GB"/>
        </w:rPr>
        <w:t xml:space="preserve"> </w:t>
      </w:r>
      <w:r w:rsidR="00E47B70" w:rsidRPr="00AC41F3">
        <w:rPr>
          <w:rFonts w:ascii="Arial" w:hAnsi="Arial" w:cs="Arial"/>
          <w:color w:val="FF0000"/>
          <w:sz w:val="20"/>
          <w:szCs w:val="20"/>
          <w:lang w:val="en-GB"/>
        </w:rPr>
        <w:t>Article 13 of the Initiative underlines that “</w:t>
      </w:r>
      <w:r w:rsidR="00AC41F3" w:rsidRPr="00AC41F3">
        <w:rPr>
          <w:rFonts w:ascii="Arial" w:hAnsi="Arial" w:cs="Arial"/>
          <w:color w:val="FF0000"/>
          <w:sz w:val="20"/>
          <w:szCs w:val="20"/>
          <w:lang w:val="en-GB"/>
        </w:rPr>
        <w:t>[t]</w:t>
      </w:r>
      <w:r w:rsidR="00E47B70" w:rsidRPr="00AC41F3">
        <w:rPr>
          <w:rFonts w:ascii="Arial" w:hAnsi="Arial" w:cs="Arial"/>
          <w:color w:val="FF0000"/>
          <w:sz w:val="20"/>
          <w:szCs w:val="20"/>
          <w:lang w:val="en-GB"/>
        </w:rPr>
        <w:t>he Sahara autonomous Region will have the financial resources required for its development in all areas.”</w:t>
      </w:r>
    </w:p>
    <w:p w:rsidR="00CB5AAB" w:rsidRPr="00FA0CCB" w:rsidRDefault="00CB5AAB" w:rsidP="003261B8">
      <w:pPr>
        <w:spacing w:after="0" w:line="240" w:lineRule="auto"/>
        <w:jc w:val="both"/>
        <w:rPr>
          <w:rFonts w:ascii="Arial" w:hAnsi="Arial" w:cs="Arial"/>
          <w:b/>
          <w:color w:val="FF0000"/>
          <w:sz w:val="20"/>
          <w:szCs w:val="20"/>
          <w:lang w:val="en-GB"/>
        </w:rPr>
      </w:pPr>
    </w:p>
    <w:p w:rsidR="008E282F" w:rsidRPr="00FA0CCB" w:rsidRDefault="00CB5AAB" w:rsidP="00AF0071">
      <w:pPr>
        <w:pStyle w:val="ListParagraph"/>
        <w:numPr>
          <w:ilvl w:val="0"/>
          <w:numId w:val="1"/>
        </w:numPr>
        <w:spacing w:after="0" w:line="240" w:lineRule="auto"/>
        <w:jc w:val="both"/>
        <w:rPr>
          <w:rFonts w:ascii="Arial" w:hAnsi="Arial" w:cs="Arial"/>
          <w:b/>
          <w:color w:val="000000" w:themeColor="text1"/>
          <w:sz w:val="20"/>
          <w:szCs w:val="20"/>
          <w:lang w:val="en-GB"/>
        </w:rPr>
      </w:pPr>
      <w:r w:rsidRPr="00FA0CCB">
        <w:rPr>
          <w:rFonts w:ascii="Arial" w:hAnsi="Arial" w:cs="Arial"/>
          <w:b/>
          <w:color w:val="000000" w:themeColor="text1"/>
          <w:sz w:val="20"/>
          <w:szCs w:val="20"/>
          <w:lang w:val="en-GB"/>
        </w:rPr>
        <w:t>Social &amp; Cultural Rights</w:t>
      </w:r>
    </w:p>
    <w:p w:rsidR="00AF0071" w:rsidRPr="00AF0071" w:rsidRDefault="00AF0071" w:rsidP="00AF0071">
      <w:pPr>
        <w:pStyle w:val="ListParagraph"/>
        <w:spacing w:after="0" w:line="240" w:lineRule="auto"/>
        <w:jc w:val="both"/>
        <w:rPr>
          <w:rFonts w:ascii="Arial" w:hAnsi="Arial" w:cs="Arial"/>
          <w:i/>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Invariably ethnic peace accords/autonomy settlements</w:t>
      </w:r>
      <w:r w:rsidRPr="001209DF">
        <w:rPr>
          <w:rFonts w:ascii="Arial" w:hAnsi="Arial" w:cs="Arial"/>
          <w:b/>
          <w:color w:val="000000" w:themeColor="text1"/>
          <w:sz w:val="20"/>
          <w:szCs w:val="20"/>
          <w:lang w:val="en-GB"/>
        </w:rPr>
        <w:t xml:space="preserve"> </w:t>
      </w:r>
      <w:r w:rsidRPr="001209DF">
        <w:rPr>
          <w:rFonts w:ascii="Arial" w:hAnsi="Arial" w:cs="Arial"/>
          <w:color w:val="000000" w:themeColor="text1"/>
          <w:sz w:val="20"/>
          <w:szCs w:val="20"/>
          <w:lang w:val="en-GB"/>
        </w:rPr>
        <w:t>have as their core the guaranteeing of the community’s customary laws and practices governing land and social relations as provided in Art 371. A caveat needs to be added about the complex relationship between gender ethnicity and the concern that in these ‘ethnic homelands’ women are pushed back from the public sphere into the private sphere governed by local customary practices and patriarchies.</w:t>
      </w:r>
      <w:r w:rsidRPr="001209DF">
        <w:rPr>
          <w:rStyle w:val="FootnoteReference"/>
          <w:rFonts w:ascii="Arial" w:hAnsi="Arial" w:cs="Arial"/>
          <w:color w:val="000000" w:themeColor="text1"/>
          <w:sz w:val="20"/>
          <w:szCs w:val="20"/>
          <w:lang w:val="en-GB"/>
        </w:rPr>
        <w:footnoteReference w:id="23"/>
      </w:r>
      <w:r w:rsidRPr="001209DF">
        <w:rPr>
          <w:rFonts w:ascii="Arial" w:hAnsi="Arial" w:cs="Arial"/>
          <w:color w:val="000000" w:themeColor="text1"/>
          <w:sz w:val="20"/>
          <w:szCs w:val="20"/>
          <w:lang w:val="en-GB"/>
        </w:rPr>
        <w:t xml:space="preserve"> In Nagaland a joint front of Naga women’s associations is challenging women’s political exclusion on the basis of customary law including going to the Supreme Court to assert their right to constitutionally guaranteed women’s quota in town and municipal council elections.</w:t>
      </w:r>
      <w:r w:rsidRPr="001209DF">
        <w:rPr>
          <w:rStyle w:val="FootnoteReference"/>
          <w:rFonts w:ascii="Arial" w:hAnsi="Arial" w:cs="Arial"/>
          <w:color w:val="000000" w:themeColor="text1"/>
          <w:sz w:val="20"/>
          <w:szCs w:val="20"/>
          <w:lang w:val="en-GB"/>
        </w:rPr>
        <w:footnoteReference w:id="24"/>
      </w:r>
      <w:r w:rsidR="008E282F" w:rsidRPr="001209DF">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 xml:space="preserve">Significantly, the Naga Ho </w:t>
      </w:r>
      <w:proofErr w:type="spellStart"/>
      <w:r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t xml:space="preserve"> and Eastern Naga People’s Organisation (ENPO) were specifically involved in the decision</w:t>
      </w:r>
      <w:r w:rsidR="008E282F"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making consultations that led to the Nagaland Legislative Assembly repealing the 2006 Act that had extended the national law for elections to Town and Municipal council. In 2012, the 60</w:t>
      </w:r>
      <w:r w:rsidR="001209DF"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member all male Legislative Assembly voted to withdraw the Act as it was in violation of Article 371A.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Also, women are calling into question the adequacy of the traditional tribal system of arbitration and reconciliation (all male) that trivializes crimes against women. And from the backdoor has come the contentious question of the denial of property rights for Naga women under customary law.</w:t>
      </w:r>
      <w:r w:rsidRPr="001209DF">
        <w:rPr>
          <w:rStyle w:val="FootnoteReference"/>
          <w:rFonts w:ascii="Arial" w:hAnsi="Arial" w:cs="Arial"/>
          <w:color w:val="000000" w:themeColor="text1"/>
          <w:sz w:val="20"/>
          <w:szCs w:val="20"/>
          <w:lang w:val="en-GB"/>
        </w:rPr>
        <w:footnoteReference w:id="25"/>
      </w:r>
      <w:r w:rsidRPr="001209DF">
        <w:rPr>
          <w:rFonts w:ascii="Arial" w:hAnsi="Arial" w:cs="Arial"/>
          <w:color w:val="000000" w:themeColor="text1"/>
          <w:sz w:val="20"/>
          <w:szCs w:val="20"/>
          <w:lang w:val="en-GB"/>
        </w:rPr>
        <w:t xml:space="preserve"> In the male decision</w:t>
      </w:r>
      <w:r w:rsidR="001209DF" w:rsidRPr="001209DF">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making committees that at a particular moment in history determined the indiscriminate inclusion of ‘all’ customary laws, including those that perpetuated the suppression of women, women’s perspectives were excluded. Those perspectives, women groups insist need now to be brought back. </w:t>
      </w:r>
    </w:p>
    <w:p w:rsidR="00F80ED0" w:rsidRDefault="00F80ED0" w:rsidP="00001F6A">
      <w:pPr>
        <w:spacing w:after="0" w:line="240" w:lineRule="auto"/>
        <w:jc w:val="both"/>
        <w:rPr>
          <w:rFonts w:ascii="Arial" w:hAnsi="Arial" w:cs="Arial"/>
          <w:color w:val="000000" w:themeColor="text1"/>
          <w:sz w:val="20"/>
          <w:szCs w:val="20"/>
          <w:lang w:val="en-GB"/>
        </w:rPr>
      </w:pPr>
    </w:p>
    <w:p w:rsidR="00F80ED0" w:rsidRPr="00AC41F3" w:rsidRDefault="00F80ED0" w:rsidP="00F80ED0">
      <w:pPr>
        <w:autoSpaceDE w:val="0"/>
        <w:autoSpaceDN w:val="0"/>
        <w:adjustRightInd w:val="0"/>
        <w:spacing w:after="0" w:line="240" w:lineRule="auto"/>
        <w:jc w:val="both"/>
        <w:rPr>
          <w:rFonts w:ascii="Arial" w:hAnsi="Arial" w:cs="Arial"/>
          <w:color w:val="FF0000"/>
          <w:sz w:val="20"/>
          <w:szCs w:val="20"/>
          <w:lang w:val="en-GB"/>
        </w:rPr>
      </w:pPr>
      <w:r w:rsidRPr="00AC41F3">
        <w:rPr>
          <w:rFonts w:ascii="Arial" w:hAnsi="Arial" w:cs="Arial"/>
          <w:color w:val="FF0000"/>
          <w:sz w:val="20"/>
          <w:szCs w:val="20"/>
          <w:lang w:val="en-GB"/>
        </w:rPr>
        <w:t>In the Moroccan Initiative, it is stipulated</w:t>
      </w:r>
      <w:r w:rsidR="00BC4DDE" w:rsidRPr="00AC41F3">
        <w:rPr>
          <w:rFonts w:ascii="Arial" w:hAnsi="Arial" w:cs="Arial"/>
          <w:color w:val="FF0000"/>
          <w:sz w:val="20"/>
          <w:szCs w:val="20"/>
          <w:lang w:val="en-GB"/>
        </w:rPr>
        <w:t>,</w:t>
      </w:r>
      <w:r w:rsidRPr="00AC41F3">
        <w:rPr>
          <w:rFonts w:ascii="Arial" w:hAnsi="Arial" w:cs="Arial"/>
          <w:color w:val="FF0000"/>
          <w:sz w:val="20"/>
          <w:szCs w:val="20"/>
          <w:lang w:val="en-GB"/>
        </w:rPr>
        <w:t xml:space="preserve"> </w:t>
      </w:r>
      <w:r w:rsidR="00BC4DDE" w:rsidRPr="00AC41F3">
        <w:rPr>
          <w:rFonts w:ascii="Arial" w:hAnsi="Arial" w:cs="Arial"/>
          <w:color w:val="FF0000"/>
          <w:sz w:val="20"/>
          <w:szCs w:val="20"/>
          <w:lang w:val="en-GB"/>
        </w:rPr>
        <w:t xml:space="preserve">in </w:t>
      </w:r>
      <w:r w:rsidRPr="00AC41F3">
        <w:rPr>
          <w:rFonts w:ascii="Arial" w:hAnsi="Arial" w:cs="Arial"/>
          <w:color w:val="FF0000"/>
          <w:sz w:val="20"/>
          <w:szCs w:val="20"/>
          <w:lang w:val="en-GB"/>
        </w:rPr>
        <w:t>Article 19</w:t>
      </w:r>
      <w:r w:rsidR="00BC4DDE" w:rsidRPr="00AC41F3">
        <w:rPr>
          <w:rFonts w:ascii="Arial" w:hAnsi="Arial" w:cs="Arial"/>
          <w:color w:val="FF0000"/>
          <w:sz w:val="20"/>
          <w:szCs w:val="20"/>
          <w:lang w:val="en-GB"/>
        </w:rPr>
        <w:t>,</w:t>
      </w:r>
      <w:r w:rsidRPr="00AC41F3">
        <w:rPr>
          <w:rFonts w:ascii="Arial" w:hAnsi="Arial" w:cs="Arial"/>
          <w:color w:val="FF0000"/>
          <w:sz w:val="20"/>
          <w:szCs w:val="20"/>
          <w:lang w:val="en-GB"/>
        </w:rPr>
        <w:t xml:space="preserve"> that “</w:t>
      </w:r>
      <w:r w:rsidR="00FA0CCB" w:rsidRPr="00AC41F3">
        <w:rPr>
          <w:rFonts w:ascii="Arial" w:hAnsi="Arial" w:cs="Arial"/>
          <w:color w:val="FF0000"/>
          <w:sz w:val="20"/>
          <w:szCs w:val="20"/>
          <w:lang w:val="en-GB"/>
        </w:rPr>
        <w:t>[t]</w:t>
      </w:r>
      <w:r w:rsidRPr="00AC41F3">
        <w:rPr>
          <w:rFonts w:ascii="Arial" w:hAnsi="Arial" w:cs="Arial"/>
          <w:color w:val="FF0000"/>
          <w:sz w:val="20"/>
          <w:szCs w:val="20"/>
          <w:lang w:val="en-GB"/>
        </w:rPr>
        <w:t>he Parliament of the Sahara autonomous Region shall be made up of members elected by the various Sahrawi tribes, and of members elected by direct universal suffrage, by the Region’s population. There shall be adequate representation of women in the Parliament of the Sahara autonomous Region.” Thus women will be directly involved in the decision-making process in all areas where the autono</w:t>
      </w:r>
      <w:r w:rsidR="00FA0CCB" w:rsidRPr="00AC41F3">
        <w:rPr>
          <w:rFonts w:ascii="Arial" w:hAnsi="Arial" w:cs="Arial"/>
          <w:color w:val="FF0000"/>
          <w:sz w:val="20"/>
          <w:szCs w:val="20"/>
          <w:lang w:val="en-GB"/>
        </w:rPr>
        <w:t>mo</w:t>
      </w:r>
      <w:r w:rsidRPr="00AC41F3">
        <w:rPr>
          <w:rFonts w:ascii="Arial" w:hAnsi="Arial" w:cs="Arial"/>
          <w:color w:val="FF0000"/>
          <w:sz w:val="20"/>
          <w:szCs w:val="20"/>
          <w:lang w:val="en-GB"/>
        </w:rPr>
        <w:t>us Region will have jurisdiction.</w:t>
      </w:r>
    </w:p>
    <w:p w:rsidR="001209DF" w:rsidRPr="00FA0CCB" w:rsidRDefault="001209DF" w:rsidP="00001F6A">
      <w:pPr>
        <w:spacing w:after="0" w:line="240" w:lineRule="auto"/>
        <w:jc w:val="both"/>
        <w:rPr>
          <w:rFonts w:ascii="Arial" w:hAnsi="Arial" w:cs="Arial"/>
          <w:b/>
          <w:color w:val="000000" w:themeColor="text1"/>
          <w:sz w:val="20"/>
          <w:szCs w:val="20"/>
          <w:lang w:val="en-GB"/>
        </w:rPr>
      </w:pPr>
    </w:p>
    <w:p w:rsidR="001209DF" w:rsidRPr="00FA0CCB" w:rsidRDefault="00CB5AAB" w:rsidP="00AF0071">
      <w:pPr>
        <w:pStyle w:val="ListParagraph"/>
        <w:numPr>
          <w:ilvl w:val="0"/>
          <w:numId w:val="1"/>
        </w:numPr>
        <w:spacing w:after="0" w:line="240" w:lineRule="auto"/>
        <w:jc w:val="both"/>
        <w:rPr>
          <w:rFonts w:ascii="Arial" w:eastAsia="Times New Roman" w:hAnsi="Arial" w:cs="Arial"/>
          <w:b/>
          <w:color w:val="000000" w:themeColor="text1"/>
          <w:sz w:val="20"/>
          <w:szCs w:val="20"/>
          <w:lang w:val="en-GB"/>
        </w:rPr>
      </w:pPr>
      <w:r w:rsidRPr="00FA0CCB">
        <w:rPr>
          <w:rFonts w:ascii="Arial" w:eastAsia="Times New Roman" w:hAnsi="Arial" w:cs="Arial"/>
          <w:b/>
          <w:color w:val="000000" w:themeColor="text1"/>
          <w:sz w:val="20"/>
          <w:szCs w:val="20"/>
          <w:lang w:val="en-GB"/>
        </w:rPr>
        <w:t>Economic Sovereignty</w:t>
      </w:r>
    </w:p>
    <w:p w:rsidR="00AF0071" w:rsidRPr="00FA0CCB" w:rsidRDefault="00AF0071" w:rsidP="00AF0071">
      <w:pPr>
        <w:pStyle w:val="ListParagraph"/>
        <w:spacing w:after="0" w:line="240" w:lineRule="auto"/>
        <w:jc w:val="both"/>
        <w:rPr>
          <w:rFonts w:ascii="Arial" w:eastAsia="Times New Roman" w:hAnsi="Arial" w:cs="Arial"/>
          <w:b/>
          <w:i/>
          <w:color w:val="000000" w:themeColor="text1"/>
          <w:sz w:val="20"/>
          <w:szCs w:val="20"/>
          <w:lang w:val="en-GB"/>
        </w:rPr>
      </w:pPr>
    </w:p>
    <w:p w:rsidR="001209DF" w:rsidRPr="001209DF" w:rsidRDefault="00CB5AAB" w:rsidP="00001F6A">
      <w:pPr>
        <w:spacing w:after="0" w:line="240" w:lineRule="auto"/>
        <w:jc w:val="both"/>
        <w:rPr>
          <w:rFonts w:ascii="Arial" w:eastAsia="Times New Roman" w:hAnsi="Arial" w:cs="Arial"/>
          <w:color w:val="000000" w:themeColor="text1"/>
          <w:sz w:val="20"/>
          <w:szCs w:val="20"/>
          <w:lang w:val="en-GB"/>
        </w:rPr>
      </w:pPr>
      <w:r w:rsidRPr="001209DF">
        <w:rPr>
          <w:rFonts w:ascii="Arial" w:eastAsia="Times New Roman" w:hAnsi="Arial" w:cs="Arial"/>
          <w:color w:val="000000" w:themeColor="text1"/>
          <w:sz w:val="20"/>
          <w:szCs w:val="20"/>
          <w:lang w:val="en-GB"/>
        </w:rPr>
        <w:t xml:space="preserve">Article 371A guarantees exceptional status to Nagaland with respect to control, ownership and transfer of land and its resources, with </w:t>
      </w:r>
      <w:r w:rsidRPr="001209DF">
        <w:rPr>
          <w:rFonts w:ascii="Arial" w:eastAsia="Times New Roman" w:hAnsi="Arial" w:cs="Arial"/>
          <w:i/>
          <w:color w:val="000000" w:themeColor="text1"/>
          <w:sz w:val="20"/>
          <w:szCs w:val="20"/>
          <w:lang w:val="en-GB"/>
        </w:rPr>
        <w:t>de</w:t>
      </w:r>
      <w:r w:rsidR="001209DF" w:rsidRPr="001209DF">
        <w:rPr>
          <w:rFonts w:ascii="Arial" w:eastAsia="Times New Roman" w:hAnsi="Arial" w:cs="Arial"/>
          <w:i/>
          <w:color w:val="000000" w:themeColor="text1"/>
          <w:sz w:val="20"/>
          <w:szCs w:val="20"/>
          <w:lang w:val="en-GB"/>
        </w:rPr>
        <w:t xml:space="preserve"> </w:t>
      </w:r>
      <w:r w:rsidRPr="001209DF">
        <w:rPr>
          <w:rFonts w:ascii="Arial" w:eastAsia="Times New Roman" w:hAnsi="Arial" w:cs="Arial"/>
          <w:i/>
          <w:color w:val="000000" w:themeColor="text1"/>
          <w:sz w:val="20"/>
          <w:szCs w:val="20"/>
          <w:lang w:val="en-GB"/>
        </w:rPr>
        <w:t>jure</w:t>
      </w:r>
      <w:r w:rsidRPr="001209DF">
        <w:rPr>
          <w:rFonts w:ascii="Arial" w:eastAsia="Times New Roman" w:hAnsi="Arial" w:cs="Arial"/>
          <w:color w:val="000000" w:themeColor="text1"/>
          <w:sz w:val="20"/>
          <w:szCs w:val="20"/>
          <w:lang w:val="en-GB"/>
        </w:rPr>
        <w:t xml:space="preserve"> authority resting with the Nagaland Legislative Assembly (NLA) to override any Act of the National Parliament. At issue are the mines and minerals under the ground</w:t>
      </w:r>
      <w:r w:rsidR="001209DF" w:rsidRPr="001209DF">
        <w:rPr>
          <w:rFonts w:ascii="Arial" w:eastAsia="Times New Roman" w:hAnsi="Arial" w:cs="Arial"/>
          <w:color w:val="000000" w:themeColor="text1"/>
          <w:sz w:val="20"/>
          <w:szCs w:val="20"/>
          <w:lang w:val="en-GB"/>
        </w:rPr>
        <w:t>,</w:t>
      </w:r>
      <w:r w:rsidRPr="001209DF">
        <w:rPr>
          <w:rFonts w:ascii="Arial" w:eastAsia="Times New Roman" w:hAnsi="Arial" w:cs="Arial"/>
          <w:color w:val="000000" w:themeColor="text1"/>
          <w:sz w:val="20"/>
          <w:szCs w:val="20"/>
          <w:lang w:val="en-GB"/>
        </w:rPr>
        <w:t xml:space="preserve"> governed by the ‘</w:t>
      </w:r>
      <w:r w:rsidRPr="001209DF">
        <w:rPr>
          <w:rFonts w:ascii="Arial" w:hAnsi="Arial" w:cs="Arial"/>
          <w:color w:val="000000" w:themeColor="text1"/>
          <w:sz w:val="20"/>
          <w:szCs w:val="20"/>
          <w:shd w:val="clear" w:color="auto" w:fill="FFFFFF"/>
          <w:lang w:val="en-GB"/>
        </w:rPr>
        <w:t>Mines and Minerals (Regulation and Development) Act’, 1957 (MMRDA), which exclusively invests mines and minerals as the “occupied field” of the Union of India. Nagaland Legislative Assembly, drawing upon Art 371A, by</w:t>
      </w:r>
      <w:r w:rsidR="001209DF" w:rsidRPr="001209DF">
        <w:rPr>
          <w:rFonts w:ascii="Arial" w:hAnsi="Arial" w:cs="Arial"/>
          <w:color w:val="000000" w:themeColor="text1"/>
          <w:sz w:val="20"/>
          <w:szCs w:val="20"/>
          <w:shd w:val="clear" w:color="auto" w:fill="FFFFFF"/>
          <w:lang w:val="en-GB"/>
        </w:rPr>
        <w:t>-</w:t>
      </w:r>
      <w:r w:rsidRPr="001209DF">
        <w:rPr>
          <w:rFonts w:ascii="Arial" w:hAnsi="Arial" w:cs="Arial"/>
          <w:color w:val="000000" w:themeColor="text1"/>
          <w:sz w:val="20"/>
          <w:szCs w:val="20"/>
          <w:shd w:val="clear" w:color="auto" w:fill="FFFFFF"/>
          <w:lang w:val="en-GB"/>
        </w:rPr>
        <w:t xml:space="preserve">passed the national Mines and Minerals Act and promulgated the </w:t>
      </w:r>
      <w:r w:rsidRPr="001209DF">
        <w:rPr>
          <w:rFonts w:ascii="Arial" w:eastAsia="Times New Roman" w:hAnsi="Arial" w:cs="Arial"/>
          <w:color w:val="000000" w:themeColor="text1"/>
          <w:sz w:val="20"/>
          <w:szCs w:val="20"/>
          <w:lang w:val="en-GB"/>
        </w:rPr>
        <w:t xml:space="preserve">Nagaland Petroleum and Natural Gas Regulation, 2012 (NPNGR). Following which the Nagaland government </w:t>
      </w:r>
      <w:r w:rsidRPr="001209DF">
        <w:rPr>
          <w:rFonts w:ascii="Arial" w:hAnsi="Arial" w:cs="Arial"/>
          <w:color w:val="000000" w:themeColor="text1"/>
          <w:sz w:val="20"/>
          <w:szCs w:val="20"/>
          <w:shd w:val="clear" w:color="auto" w:fill="FFFFFF"/>
          <w:lang w:val="en-GB"/>
        </w:rPr>
        <w:t xml:space="preserve">suspended all oil operations in Nagaland and invited “Expressions of Interest” from companies to explore and exploit the 11 oil and gas fields identified across 11 districts of the state. The Union government has asked the Nagaland Legislative to withdraw the law, the enactment of which lies </w:t>
      </w:r>
      <w:r w:rsidRPr="001209DF">
        <w:rPr>
          <w:rFonts w:ascii="Arial" w:eastAsia="Times New Roman" w:hAnsi="Arial" w:cs="Arial"/>
          <w:color w:val="000000" w:themeColor="text1"/>
          <w:sz w:val="20"/>
          <w:szCs w:val="20"/>
          <w:lang w:val="en-GB"/>
        </w:rPr>
        <w:t>within the sole domain of Parliament.</w:t>
      </w:r>
    </w:p>
    <w:p w:rsidR="00CB5AAB" w:rsidRPr="001209DF" w:rsidRDefault="00CB5AAB" w:rsidP="00001F6A">
      <w:pPr>
        <w:spacing w:after="0" w:line="240" w:lineRule="auto"/>
        <w:jc w:val="both"/>
        <w:rPr>
          <w:rFonts w:ascii="Arial" w:eastAsia="Times New Roman" w:hAnsi="Arial" w:cs="Arial"/>
          <w:color w:val="000000" w:themeColor="text1"/>
          <w:sz w:val="20"/>
          <w:szCs w:val="20"/>
          <w:lang w:val="en-GB"/>
        </w:rPr>
      </w:pPr>
    </w:p>
    <w:p w:rsidR="00CB5AAB" w:rsidRDefault="00CB5AAB" w:rsidP="00001F6A">
      <w:pPr>
        <w:spacing w:after="0" w:line="240" w:lineRule="auto"/>
        <w:jc w:val="both"/>
        <w:rPr>
          <w:rFonts w:ascii="Arial" w:hAnsi="Arial" w:cs="Arial"/>
          <w:color w:val="000000" w:themeColor="text1"/>
          <w:sz w:val="20"/>
          <w:szCs w:val="20"/>
          <w:shd w:val="clear" w:color="auto" w:fill="FFFFFF"/>
          <w:lang w:val="en-GB"/>
        </w:rPr>
      </w:pPr>
      <w:r w:rsidRPr="001209DF">
        <w:rPr>
          <w:rFonts w:ascii="Arial" w:eastAsia="Times New Roman" w:hAnsi="Arial" w:cs="Arial"/>
          <w:color w:val="000000" w:themeColor="text1"/>
          <w:sz w:val="20"/>
          <w:szCs w:val="20"/>
          <w:lang w:val="en-GB"/>
        </w:rPr>
        <w:t xml:space="preserve">Importantly, the Nagaland government before responding, held a civil society consultative meeting in July 2013 in which the Naga </w:t>
      </w:r>
      <w:proofErr w:type="gramStart"/>
      <w:r w:rsidRPr="001209DF">
        <w:rPr>
          <w:rFonts w:ascii="Arial" w:eastAsia="Times New Roman" w:hAnsi="Arial" w:cs="Arial"/>
          <w:color w:val="000000" w:themeColor="text1"/>
          <w:sz w:val="20"/>
          <w:szCs w:val="20"/>
          <w:lang w:val="en-GB"/>
        </w:rPr>
        <w:t>tribes</w:t>
      </w:r>
      <w:proofErr w:type="gramEnd"/>
      <w:r w:rsidRPr="001209DF">
        <w:rPr>
          <w:rFonts w:ascii="Arial" w:eastAsia="Times New Roman" w:hAnsi="Arial" w:cs="Arial"/>
          <w:color w:val="000000" w:themeColor="text1"/>
          <w:sz w:val="20"/>
          <w:szCs w:val="20"/>
          <w:lang w:val="en-GB"/>
        </w:rPr>
        <w:t xml:space="preserve"> public bodies resolved that no approval for oil and gas exploration without their approval. Taking note of this emerging decision making process, Northeast scholar H. K. K. </w:t>
      </w:r>
      <w:proofErr w:type="spellStart"/>
      <w:r w:rsidRPr="001209DF">
        <w:rPr>
          <w:rFonts w:ascii="Arial" w:eastAsia="Times New Roman" w:hAnsi="Arial" w:cs="Arial"/>
          <w:color w:val="000000" w:themeColor="text1"/>
          <w:sz w:val="20"/>
          <w:szCs w:val="20"/>
          <w:lang w:val="en-GB"/>
        </w:rPr>
        <w:t>Suan</w:t>
      </w:r>
      <w:proofErr w:type="spellEnd"/>
      <w:r w:rsidRPr="001209DF">
        <w:rPr>
          <w:rFonts w:ascii="Arial" w:eastAsia="Times New Roman" w:hAnsi="Arial" w:cs="Arial"/>
          <w:color w:val="000000" w:themeColor="text1"/>
          <w:sz w:val="20"/>
          <w:szCs w:val="20"/>
          <w:lang w:val="en-GB"/>
        </w:rPr>
        <w:t xml:space="preserve"> stated, “al</w:t>
      </w:r>
      <w:r w:rsidRPr="001209DF">
        <w:rPr>
          <w:rFonts w:ascii="Arial" w:hAnsi="Arial" w:cs="Arial"/>
          <w:color w:val="000000" w:themeColor="text1"/>
          <w:sz w:val="20"/>
          <w:szCs w:val="20"/>
          <w:shd w:val="clear" w:color="auto" w:fill="FFFFFF"/>
          <w:lang w:val="en-GB"/>
        </w:rPr>
        <w:t>though the State wields</w:t>
      </w:r>
      <w:r w:rsidR="001209DF" w:rsidRPr="001209DF">
        <w:rPr>
          <w:rStyle w:val="apple-converted-space"/>
          <w:rFonts w:ascii="Arial" w:hAnsi="Arial" w:cs="Arial"/>
          <w:color w:val="000000" w:themeColor="text1"/>
          <w:sz w:val="20"/>
          <w:szCs w:val="20"/>
          <w:shd w:val="clear" w:color="auto" w:fill="FFFFFF"/>
          <w:lang w:val="en-GB"/>
        </w:rPr>
        <w:t xml:space="preserve"> </w:t>
      </w:r>
      <w:r w:rsidRPr="001209DF">
        <w:rPr>
          <w:rFonts w:ascii="Arial" w:hAnsi="Arial" w:cs="Arial"/>
          <w:i/>
          <w:iCs/>
          <w:color w:val="000000" w:themeColor="text1"/>
          <w:sz w:val="20"/>
          <w:szCs w:val="20"/>
          <w:shd w:val="clear" w:color="auto" w:fill="FFFFFF"/>
          <w:lang w:val="en-GB"/>
        </w:rPr>
        <w:t>de jure</w:t>
      </w:r>
      <w:r w:rsidR="001209DF" w:rsidRPr="001209DF">
        <w:rPr>
          <w:rStyle w:val="apple-converted-space"/>
          <w:rFonts w:ascii="Arial" w:hAnsi="Arial" w:cs="Arial"/>
          <w:color w:val="000000" w:themeColor="text1"/>
          <w:sz w:val="20"/>
          <w:szCs w:val="20"/>
          <w:shd w:val="clear" w:color="auto" w:fill="FFFFFF"/>
          <w:lang w:val="en-GB"/>
        </w:rPr>
        <w:t xml:space="preserve"> </w:t>
      </w:r>
      <w:r w:rsidRPr="001209DF">
        <w:rPr>
          <w:rFonts w:ascii="Arial" w:hAnsi="Arial" w:cs="Arial"/>
          <w:color w:val="000000" w:themeColor="text1"/>
          <w:sz w:val="20"/>
          <w:szCs w:val="20"/>
          <w:shd w:val="clear" w:color="auto" w:fill="FFFFFF"/>
          <w:lang w:val="en-GB"/>
        </w:rPr>
        <w:t>power to make law and regulate “ownership and transfer of land and its resources,” the emerging political process shows that</w:t>
      </w:r>
      <w:r w:rsidR="001209DF" w:rsidRPr="001209DF">
        <w:rPr>
          <w:rStyle w:val="apple-converted-space"/>
          <w:rFonts w:ascii="Arial" w:hAnsi="Arial" w:cs="Arial"/>
          <w:color w:val="000000" w:themeColor="text1"/>
          <w:sz w:val="20"/>
          <w:szCs w:val="20"/>
          <w:shd w:val="clear" w:color="auto" w:fill="FFFFFF"/>
          <w:lang w:val="en-GB"/>
        </w:rPr>
        <w:t xml:space="preserve"> </w:t>
      </w:r>
      <w:r w:rsidRPr="001209DF">
        <w:rPr>
          <w:rFonts w:ascii="Arial" w:hAnsi="Arial" w:cs="Arial"/>
          <w:i/>
          <w:iCs/>
          <w:color w:val="000000" w:themeColor="text1"/>
          <w:sz w:val="20"/>
          <w:szCs w:val="20"/>
          <w:shd w:val="clear" w:color="auto" w:fill="FFFFFF"/>
          <w:lang w:val="en-GB"/>
        </w:rPr>
        <w:t>de facto</w:t>
      </w:r>
      <w:r w:rsidR="001209DF" w:rsidRPr="001209DF">
        <w:rPr>
          <w:rStyle w:val="apple-converted-space"/>
          <w:rFonts w:ascii="Arial" w:hAnsi="Arial" w:cs="Arial"/>
          <w:color w:val="000000" w:themeColor="text1"/>
          <w:sz w:val="20"/>
          <w:szCs w:val="20"/>
          <w:shd w:val="clear" w:color="auto" w:fill="FFFFFF"/>
          <w:lang w:val="en-GB"/>
        </w:rPr>
        <w:t xml:space="preserve"> </w:t>
      </w:r>
      <w:r w:rsidRPr="001209DF">
        <w:rPr>
          <w:rFonts w:ascii="Arial" w:hAnsi="Arial" w:cs="Arial"/>
          <w:color w:val="000000" w:themeColor="text1"/>
          <w:sz w:val="20"/>
          <w:szCs w:val="20"/>
          <w:shd w:val="clear" w:color="auto" w:fill="FFFFFF"/>
          <w:lang w:val="en-GB"/>
        </w:rPr>
        <w:t>power is wielded by a melange of tribal bodies and Naga civil society. The inclusion of the presidents of Naga</w:t>
      </w:r>
      <w:r w:rsidR="001209DF" w:rsidRPr="001209DF">
        <w:rPr>
          <w:rStyle w:val="apple-converted-space"/>
          <w:rFonts w:ascii="Arial" w:hAnsi="Arial" w:cs="Arial"/>
          <w:color w:val="000000" w:themeColor="text1"/>
          <w:sz w:val="20"/>
          <w:szCs w:val="20"/>
          <w:shd w:val="clear" w:color="auto" w:fill="FFFFFF"/>
          <w:lang w:val="en-GB"/>
        </w:rPr>
        <w:t xml:space="preserve"> </w:t>
      </w:r>
      <w:r w:rsidR="001209DF" w:rsidRPr="001209DF">
        <w:rPr>
          <w:rFonts w:ascii="Arial" w:hAnsi="Arial" w:cs="Arial"/>
          <w:iCs/>
          <w:color w:val="000000" w:themeColor="text1"/>
          <w:sz w:val="20"/>
          <w:szCs w:val="20"/>
          <w:shd w:val="clear" w:color="auto" w:fill="FFFFFF"/>
          <w:lang w:val="en-GB"/>
        </w:rPr>
        <w:t>H</w:t>
      </w:r>
      <w:r w:rsidRPr="001209DF">
        <w:rPr>
          <w:rFonts w:ascii="Arial" w:hAnsi="Arial" w:cs="Arial"/>
          <w:iCs/>
          <w:color w:val="000000" w:themeColor="text1"/>
          <w:sz w:val="20"/>
          <w:szCs w:val="20"/>
          <w:shd w:val="clear" w:color="auto" w:fill="FFFFFF"/>
          <w:lang w:val="en-GB"/>
        </w:rPr>
        <w:t>o</w:t>
      </w:r>
      <w:r w:rsidR="001209DF" w:rsidRPr="001209DF">
        <w:rPr>
          <w:rFonts w:ascii="Arial" w:hAnsi="Arial" w:cs="Arial"/>
          <w:iCs/>
          <w:color w:val="000000" w:themeColor="text1"/>
          <w:sz w:val="20"/>
          <w:szCs w:val="20"/>
          <w:shd w:val="clear" w:color="auto" w:fill="FFFFFF"/>
          <w:lang w:val="en-GB"/>
        </w:rPr>
        <w:t xml:space="preserve"> </w:t>
      </w:r>
      <w:proofErr w:type="spellStart"/>
      <w:r w:rsidR="001209DF" w:rsidRPr="001209DF">
        <w:rPr>
          <w:rFonts w:ascii="Arial" w:hAnsi="Arial" w:cs="Arial"/>
          <w:iCs/>
          <w:color w:val="000000" w:themeColor="text1"/>
          <w:sz w:val="20"/>
          <w:szCs w:val="20"/>
          <w:shd w:val="clear" w:color="auto" w:fill="FFFFFF"/>
          <w:lang w:val="en-GB"/>
        </w:rPr>
        <w:t>H</w:t>
      </w:r>
      <w:r w:rsidRPr="001209DF">
        <w:rPr>
          <w:rFonts w:ascii="Arial" w:hAnsi="Arial" w:cs="Arial"/>
          <w:iCs/>
          <w:color w:val="000000" w:themeColor="text1"/>
          <w:sz w:val="20"/>
          <w:szCs w:val="20"/>
          <w:shd w:val="clear" w:color="auto" w:fill="FFFFFF"/>
          <w:lang w:val="en-GB"/>
        </w:rPr>
        <w:t>o</w:t>
      </w:r>
      <w:proofErr w:type="spellEnd"/>
      <w:r w:rsidR="001209DF" w:rsidRPr="001209DF">
        <w:rPr>
          <w:rStyle w:val="apple-converted-space"/>
          <w:rFonts w:ascii="Arial" w:hAnsi="Arial" w:cs="Arial"/>
          <w:color w:val="000000" w:themeColor="text1"/>
          <w:sz w:val="20"/>
          <w:szCs w:val="20"/>
          <w:shd w:val="clear" w:color="auto" w:fill="FFFFFF"/>
          <w:lang w:val="en-GB"/>
        </w:rPr>
        <w:t xml:space="preserve"> </w:t>
      </w:r>
      <w:r w:rsidRPr="001209DF">
        <w:rPr>
          <w:rFonts w:ascii="Arial" w:hAnsi="Arial" w:cs="Arial"/>
          <w:color w:val="000000" w:themeColor="text1"/>
          <w:sz w:val="20"/>
          <w:szCs w:val="20"/>
          <w:shd w:val="clear" w:color="auto" w:fill="FFFFFF"/>
          <w:lang w:val="en-GB"/>
        </w:rPr>
        <w:t>and ENPO (Eastern Naga People’s Organisation) as permanent invitees in the apex decision-making body clearly indicates this.”</w:t>
      </w:r>
      <w:r w:rsidRPr="001209DF">
        <w:rPr>
          <w:rStyle w:val="FootnoteReference"/>
          <w:rFonts w:ascii="Arial" w:hAnsi="Arial" w:cs="Arial"/>
          <w:color w:val="000000" w:themeColor="text1"/>
          <w:sz w:val="20"/>
          <w:szCs w:val="20"/>
          <w:shd w:val="clear" w:color="auto" w:fill="FFFFFF"/>
          <w:lang w:val="en-GB"/>
        </w:rPr>
        <w:footnoteReference w:id="26"/>
      </w:r>
      <w:r w:rsidRPr="001209DF">
        <w:rPr>
          <w:rFonts w:ascii="Arial" w:hAnsi="Arial" w:cs="Arial"/>
          <w:color w:val="000000" w:themeColor="text1"/>
          <w:sz w:val="20"/>
          <w:szCs w:val="20"/>
          <w:shd w:val="clear" w:color="auto" w:fill="FFFFFF"/>
          <w:lang w:val="en-GB"/>
        </w:rPr>
        <w:t xml:space="preserve"> </w:t>
      </w:r>
    </w:p>
    <w:p w:rsidR="00FA0CCB" w:rsidRDefault="00FA0CCB" w:rsidP="00001F6A">
      <w:pPr>
        <w:spacing w:after="0" w:line="240" w:lineRule="auto"/>
        <w:jc w:val="both"/>
        <w:rPr>
          <w:rFonts w:ascii="Arial" w:hAnsi="Arial" w:cs="Arial"/>
          <w:color w:val="000000" w:themeColor="text1"/>
          <w:sz w:val="20"/>
          <w:szCs w:val="20"/>
          <w:shd w:val="clear" w:color="auto" w:fill="FFFFFF"/>
          <w:lang w:val="en-GB"/>
        </w:rPr>
      </w:pPr>
    </w:p>
    <w:p w:rsidR="008B0675" w:rsidRDefault="00FA0CCB" w:rsidP="008B0675">
      <w:pPr>
        <w:autoSpaceDE w:val="0"/>
        <w:autoSpaceDN w:val="0"/>
        <w:adjustRightInd w:val="0"/>
        <w:spacing w:after="0" w:line="240" w:lineRule="auto"/>
        <w:jc w:val="both"/>
        <w:rPr>
          <w:rFonts w:ascii="Arial" w:hAnsi="Arial" w:cs="Arial"/>
          <w:color w:val="FF0000"/>
          <w:sz w:val="20"/>
          <w:szCs w:val="20"/>
          <w:shd w:val="clear" w:color="auto" w:fill="FFFFFF"/>
          <w:lang w:val="en-GB"/>
        </w:rPr>
      </w:pPr>
      <w:r w:rsidRPr="00AC41F3">
        <w:rPr>
          <w:rFonts w:ascii="Arial" w:hAnsi="Arial" w:cs="Arial"/>
          <w:color w:val="FF0000"/>
          <w:sz w:val="20"/>
          <w:szCs w:val="20"/>
          <w:shd w:val="clear" w:color="auto" w:fill="FFFFFF"/>
          <w:lang w:val="en-GB"/>
        </w:rPr>
        <w:t xml:space="preserve">In the future Sahara autonomous Region, based on Article 13 of the </w:t>
      </w:r>
      <w:r w:rsidR="00D33AC6" w:rsidRPr="00AC41F3">
        <w:rPr>
          <w:rFonts w:ascii="Arial" w:hAnsi="Arial" w:cs="Arial"/>
          <w:color w:val="FF0000"/>
          <w:sz w:val="20"/>
          <w:szCs w:val="20"/>
          <w:shd w:val="clear" w:color="auto" w:fill="FFFFFF"/>
          <w:lang w:val="en-GB"/>
        </w:rPr>
        <w:t>Initiative</w:t>
      </w:r>
      <w:r w:rsidRPr="00AC41F3">
        <w:rPr>
          <w:rFonts w:ascii="Arial" w:hAnsi="Arial" w:cs="Arial"/>
          <w:color w:val="FF0000"/>
          <w:sz w:val="20"/>
          <w:szCs w:val="20"/>
          <w:shd w:val="clear" w:color="auto" w:fill="FFFFFF"/>
          <w:lang w:val="en-GB"/>
        </w:rPr>
        <w:t>, “[the] Region will have the financial resources required for its development in all areas. Resources will come, in particular, from: taxes, duties and regional levies enacted by the Region’s competent authorities; proceeds from the exploitation of natural resources allocated to the Region; the share of proceeds collected by the State from the exploitation of natural resources located in the Region; the necessary funds allocated in keeping with the principle of national solidarity; proceeds from the Region’s assets.”</w:t>
      </w:r>
      <w:r w:rsidR="00296A35" w:rsidRPr="00AC41F3">
        <w:rPr>
          <w:rFonts w:ascii="Arial" w:hAnsi="Arial" w:cs="Arial"/>
          <w:color w:val="FF0000"/>
          <w:sz w:val="20"/>
          <w:szCs w:val="20"/>
          <w:shd w:val="clear" w:color="auto" w:fill="FFFFFF"/>
          <w:lang w:val="en-GB"/>
        </w:rPr>
        <w:t xml:space="preserve"> As such, the Sahara populations “will have the financial resources needed for the region’s development in all fields, and will take an active part in the nation’s economic, social and cultural life” (Article 5 of the </w:t>
      </w:r>
      <w:r w:rsidR="00AC41F3" w:rsidRPr="00AC41F3">
        <w:rPr>
          <w:rFonts w:ascii="Arial" w:hAnsi="Arial" w:cs="Arial"/>
          <w:color w:val="FF0000"/>
          <w:sz w:val="20"/>
          <w:szCs w:val="20"/>
          <w:shd w:val="clear" w:color="auto" w:fill="FFFFFF"/>
          <w:lang w:val="en-GB"/>
        </w:rPr>
        <w:t>I</w:t>
      </w:r>
      <w:r w:rsidR="00296A35" w:rsidRPr="00AC41F3">
        <w:rPr>
          <w:rFonts w:ascii="Arial" w:hAnsi="Arial" w:cs="Arial"/>
          <w:color w:val="FF0000"/>
          <w:sz w:val="20"/>
          <w:szCs w:val="20"/>
          <w:shd w:val="clear" w:color="auto" w:fill="FFFFFF"/>
          <w:lang w:val="en-GB"/>
        </w:rPr>
        <w:t>nitiative)</w:t>
      </w:r>
      <w:r w:rsidR="00AC41F3" w:rsidRPr="00AC41F3">
        <w:rPr>
          <w:rFonts w:ascii="Arial" w:hAnsi="Arial" w:cs="Arial"/>
          <w:color w:val="FF0000"/>
          <w:sz w:val="20"/>
          <w:szCs w:val="20"/>
          <w:shd w:val="clear" w:color="auto" w:fill="FFFFFF"/>
          <w:lang w:val="en-GB"/>
        </w:rPr>
        <w:t xml:space="preserve">. </w:t>
      </w:r>
      <w:r w:rsidR="008B0675" w:rsidRPr="00AC41F3">
        <w:rPr>
          <w:rFonts w:ascii="Arial" w:hAnsi="Arial" w:cs="Arial"/>
          <w:color w:val="FF0000"/>
          <w:sz w:val="20"/>
          <w:szCs w:val="20"/>
          <w:shd w:val="clear" w:color="auto" w:fill="FFFFFF"/>
          <w:lang w:val="en-GB"/>
        </w:rPr>
        <w:t>Moreover, Article 26 of the Initiative underlines that “</w:t>
      </w:r>
      <w:r w:rsidR="00AC41F3" w:rsidRPr="00AC41F3">
        <w:rPr>
          <w:rFonts w:ascii="Arial" w:hAnsi="Arial" w:cs="Arial"/>
          <w:color w:val="FF0000"/>
          <w:sz w:val="20"/>
          <w:szCs w:val="20"/>
          <w:lang w:val="en-GB"/>
        </w:rPr>
        <w:t>[a]</w:t>
      </w:r>
      <w:r w:rsidR="008B0675" w:rsidRPr="00AC41F3">
        <w:rPr>
          <w:rFonts w:ascii="Arial" w:hAnsi="Arial" w:cs="Arial"/>
          <w:color w:val="FF0000"/>
          <w:sz w:val="20"/>
          <w:szCs w:val="20"/>
          <w:shd w:val="clear" w:color="auto" w:fill="FFFFFF"/>
          <w:lang w:val="en-GB"/>
        </w:rPr>
        <w:t>n Economic and Social Council shall be set up in the Sahara autonomous Region. It shall comprise representatives from economic, social, professional and community groups, as well as highly qualified figures.”</w:t>
      </w:r>
    </w:p>
    <w:p w:rsidR="00AC41F3" w:rsidRDefault="00AC41F3" w:rsidP="008B0675">
      <w:pPr>
        <w:autoSpaceDE w:val="0"/>
        <w:autoSpaceDN w:val="0"/>
        <w:adjustRightInd w:val="0"/>
        <w:spacing w:after="0" w:line="240" w:lineRule="auto"/>
        <w:jc w:val="both"/>
        <w:rPr>
          <w:rFonts w:ascii="Arial" w:hAnsi="Arial" w:cs="Arial"/>
          <w:color w:val="FF0000"/>
          <w:sz w:val="20"/>
          <w:szCs w:val="20"/>
          <w:shd w:val="clear" w:color="auto" w:fill="FFFFFF"/>
          <w:lang w:val="en-GB"/>
        </w:rPr>
      </w:pPr>
    </w:p>
    <w:p w:rsidR="00AC41F3" w:rsidRPr="00FA0CCB" w:rsidRDefault="00AC41F3" w:rsidP="008B0675">
      <w:pPr>
        <w:autoSpaceDE w:val="0"/>
        <w:autoSpaceDN w:val="0"/>
        <w:adjustRightInd w:val="0"/>
        <w:spacing w:after="0" w:line="240" w:lineRule="auto"/>
        <w:jc w:val="both"/>
        <w:rPr>
          <w:rFonts w:ascii="Arial" w:hAnsi="Arial" w:cs="Arial"/>
          <w:color w:val="FF0000"/>
          <w:sz w:val="20"/>
          <w:szCs w:val="20"/>
          <w:shd w:val="clear" w:color="auto" w:fill="FFFFFF"/>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FA0CCB" w:rsidRDefault="00CB5AAB" w:rsidP="00AF0071">
      <w:pPr>
        <w:pStyle w:val="ListParagraph"/>
        <w:numPr>
          <w:ilvl w:val="0"/>
          <w:numId w:val="1"/>
        </w:numPr>
        <w:spacing w:after="0" w:line="240" w:lineRule="auto"/>
        <w:jc w:val="both"/>
        <w:rPr>
          <w:rFonts w:ascii="Arial" w:hAnsi="Arial" w:cs="Arial"/>
          <w:b/>
          <w:color w:val="000000" w:themeColor="text1"/>
          <w:sz w:val="20"/>
          <w:szCs w:val="20"/>
          <w:lang w:val="en-GB"/>
        </w:rPr>
      </w:pPr>
      <w:r w:rsidRPr="00FA0CCB">
        <w:rPr>
          <w:rFonts w:ascii="Arial" w:hAnsi="Arial" w:cs="Arial"/>
          <w:b/>
          <w:color w:val="000000" w:themeColor="text1"/>
          <w:sz w:val="20"/>
          <w:szCs w:val="20"/>
          <w:lang w:val="en-GB"/>
        </w:rPr>
        <w:t xml:space="preserve">National Security Laws: Creating Zones of Exception </w:t>
      </w:r>
    </w:p>
    <w:p w:rsidR="00AF0071" w:rsidRPr="00AF0071" w:rsidRDefault="00AF0071" w:rsidP="00AF0071">
      <w:pPr>
        <w:pStyle w:val="ListParagraph"/>
        <w:spacing w:after="0" w:line="240" w:lineRule="auto"/>
        <w:jc w:val="both"/>
        <w:rPr>
          <w:rFonts w:ascii="Arial" w:hAnsi="Arial" w:cs="Arial"/>
          <w:b/>
          <w:i/>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shd w:val="clear" w:color="auto" w:fill="FFFFFF"/>
          <w:lang w:val="en-GB"/>
        </w:rPr>
      </w:pPr>
      <w:r w:rsidRPr="001209DF">
        <w:rPr>
          <w:rFonts w:ascii="Arial" w:hAnsi="Arial" w:cs="Arial"/>
          <w:color w:val="000000" w:themeColor="text1"/>
          <w:sz w:val="20"/>
          <w:szCs w:val="20"/>
          <w:lang w:val="en-GB"/>
        </w:rPr>
        <w:t>India’s slew of National and State Public Security Acts and anti-</w:t>
      </w:r>
      <w:r w:rsidR="001209DF" w:rsidRPr="001209DF">
        <w:rPr>
          <w:rFonts w:ascii="Arial" w:hAnsi="Arial" w:cs="Arial"/>
          <w:color w:val="000000" w:themeColor="text1"/>
          <w:sz w:val="20"/>
          <w:szCs w:val="20"/>
          <w:lang w:val="en-GB"/>
        </w:rPr>
        <w:t>t</w:t>
      </w:r>
      <w:r w:rsidRPr="001209DF">
        <w:rPr>
          <w:rFonts w:ascii="Arial" w:hAnsi="Arial" w:cs="Arial"/>
          <w:color w:val="000000" w:themeColor="text1"/>
          <w:sz w:val="20"/>
          <w:szCs w:val="20"/>
          <w:lang w:val="en-GB"/>
        </w:rPr>
        <w:t xml:space="preserve">errorism laws overshadow its impressive architecture of fundamental rights and exceptional status rights (Art 370 &amp; 371 A-H) and have produced the structure and pathology of a national security state. Habits of colonial laws and administration have shaped these anti-democratic laws which have compromised constitutional freedoms, undermined human rights and put at risk human rights defenders. Of particular relevance for our analysis are laws such as the Disturbed Areas Act (1952), AFSPA (1958), Nagaland Security Regulation (1962), National Security Act (1980), Unlawful Activities (Prevention) Amendment Act (2004) and </w:t>
      </w:r>
      <w:r w:rsidRPr="001209DF">
        <w:rPr>
          <w:rFonts w:ascii="Arial" w:hAnsi="Arial" w:cs="Arial"/>
          <w:color w:val="000000" w:themeColor="text1"/>
          <w:sz w:val="20"/>
          <w:szCs w:val="20"/>
          <w:shd w:val="clear" w:color="auto" w:fill="FFFFFF"/>
          <w:lang w:val="en-GB"/>
        </w:rPr>
        <w:t xml:space="preserve">Sedition Law (Indian Penal Code: Section 124), and anti Secession law (The </w:t>
      </w:r>
      <w:r w:rsidRPr="001209DF">
        <w:rPr>
          <w:rFonts w:ascii="Arial" w:hAnsi="Arial" w:cs="Arial"/>
          <w:bCs/>
          <w:color w:val="000000" w:themeColor="text1"/>
          <w:sz w:val="20"/>
          <w:szCs w:val="20"/>
          <w:lang w:val="en-GB"/>
        </w:rPr>
        <w:t>Unlawful Activities (Prevention) Act, 1967)</w:t>
      </w:r>
      <w:r w:rsidR="001209DF">
        <w:rPr>
          <w:rFonts w:ascii="Arial" w:hAnsi="Arial" w:cs="Arial"/>
          <w:bCs/>
          <w:color w:val="000000" w:themeColor="text1"/>
          <w:sz w:val="20"/>
          <w:szCs w:val="20"/>
          <w:lang w:val="en-GB"/>
        </w:rPr>
        <w:t xml:space="preserve">. </w:t>
      </w:r>
      <w:r w:rsidRPr="001209DF">
        <w:rPr>
          <w:rFonts w:ascii="Arial" w:hAnsi="Arial" w:cs="Arial"/>
          <w:color w:val="000000" w:themeColor="text1"/>
          <w:sz w:val="20"/>
          <w:szCs w:val="20"/>
          <w:lang w:val="en-GB"/>
        </w:rPr>
        <w:t>(India adheres to the position that a post-colonial state, by definition, has exhausted the right of self-determination</w:t>
      </w:r>
      <w:r w:rsidRPr="001209DF">
        <w:rPr>
          <w:rFonts w:ascii="Arial" w:hAnsi="Arial" w:cs="Arial"/>
          <w:color w:val="000000" w:themeColor="text1"/>
          <w:sz w:val="20"/>
          <w:szCs w:val="20"/>
          <w:shd w:val="clear" w:color="auto" w:fill="F8F8F8"/>
          <w:lang w:val="en-GB"/>
        </w:rPr>
        <w:t>.</w:t>
      </w:r>
      <w:r w:rsidRPr="001209DF">
        <w:rPr>
          <w:rStyle w:val="FootnoteReference"/>
          <w:rFonts w:ascii="Arial" w:hAnsi="Arial" w:cs="Arial"/>
          <w:bCs/>
          <w:color w:val="000000" w:themeColor="text1"/>
          <w:sz w:val="20"/>
          <w:szCs w:val="20"/>
          <w:lang w:val="en-GB"/>
        </w:rPr>
        <w:footnoteReference w:id="27"/>
      </w:r>
      <w:r w:rsidRPr="001209DF">
        <w:rPr>
          <w:rFonts w:ascii="Arial" w:hAnsi="Arial" w:cs="Arial"/>
          <w:color w:val="000000" w:themeColor="text1"/>
          <w:sz w:val="20"/>
          <w:szCs w:val="20"/>
          <w:shd w:val="clear" w:color="auto" w:fill="F8F8F8"/>
          <w:lang w:val="en-GB"/>
        </w:rPr>
        <w:t xml:space="preserve">) </w:t>
      </w:r>
      <w:r w:rsidRPr="001209DF">
        <w:rPr>
          <w:rFonts w:ascii="Arial" w:hAnsi="Arial" w:cs="Arial"/>
          <w:bCs/>
          <w:color w:val="000000" w:themeColor="text1"/>
          <w:sz w:val="20"/>
          <w:szCs w:val="20"/>
          <w:lang w:val="en-GB"/>
        </w:rPr>
        <w:t xml:space="preserve">The </w:t>
      </w:r>
      <w:r w:rsidR="001209DF">
        <w:rPr>
          <w:rFonts w:ascii="Arial" w:hAnsi="Arial" w:cs="Arial"/>
          <w:color w:val="000000" w:themeColor="text1"/>
          <w:sz w:val="20"/>
          <w:szCs w:val="20"/>
          <w:shd w:val="clear" w:color="auto" w:fill="FFFFFF"/>
          <w:lang w:val="en-GB"/>
        </w:rPr>
        <w:t>C</w:t>
      </w:r>
      <w:r w:rsidRPr="001209DF">
        <w:rPr>
          <w:rFonts w:ascii="Arial" w:hAnsi="Arial" w:cs="Arial"/>
          <w:color w:val="000000" w:themeColor="text1"/>
          <w:sz w:val="20"/>
          <w:szCs w:val="20"/>
          <w:shd w:val="clear" w:color="auto" w:fill="FFFFFF"/>
          <w:lang w:val="en-GB"/>
        </w:rPr>
        <w:t xml:space="preserve">onstitution provides for declaration of </w:t>
      </w:r>
      <w:r w:rsidR="001209DF">
        <w:rPr>
          <w:rFonts w:ascii="Arial" w:hAnsi="Arial" w:cs="Arial"/>
          <w:color w:val="000000" w:themeColor="text1"/>
          <w:sz w:val="20"/>
          <w:szCs w:val="20"/>
          <w:shd w:val="clear" w:color="auto" w:fill="FFFFFF"/>
          <w:lang w:val="en-GB"/>
        </w:rPr>
        <w:t xml:space="preserve">the </w:t>
      </w:r>
      <w:r w:rsidRPr="001209DF">
        <w:rPr>
          <w:rFonts w:ascii="Arial" w:hAnsi="Arial" w:cs="Arial"/>
          <w:color w:val="000000" w:themeColor="text1"/>
          <w:sz w:val="20"/>
          <w:szCs w:val="20"/>
          <w:shd w:val="clear" w:color="auto" w:fill="FFFFFF"/>
          <w:lang w:val="en-GB"/>
        </w:rPr>
        <w:t>state of Emergency (Article 352,356) on grounds of external aggression and internal armed rebellion, national and state</w:t>
      </w:r>
      <w:r w:rsidR="00FA0CCB">
        <w:rPr>
          <w:rFonts w:ascii="Arial" w:hAnsi="Arial" w:cs="Arial"/>
          <w:color w:val="000000" w:themeColor="text1"/>
          <w:sz w:val="20"/>
          <w:szCs w:val="20"/>
          <w:shd w:val="clear" w:color="auto" w:fill="FFFFFF"/>
          <w:lang w:val="en-GB"/>
        </w:rPr>
        <w:t xml:space="preserve"> </w:t>
      </w:r>
      <w:r w:rsidRPr="001209DF">
        <w:rPr>
          <w:rFonts w:ascii="Arial" w:hAnsi="Arial" w:cs="Arial"/>
          <w:color w:val="000000" w:themeColor="text1"/>
          <w:sz w:val="20"/>
          <w:szCs w:val="20"/>
          <w:shd w:val="clear" w:color="auto" w:fill="FFFFFF"/>
          <w:lang w:val="en-GB"/>
        </w:rPr>
        <w:t xml:space="preserve">wide. </w:t>
      </w:r>
      <w:r w:rsidRPr="001209DF">
        <w:rPr>
          <w:rFonts w:ascii="Arial" w:hAnsi="Arial" w:cs="Arial"/>
          <w:b/>
          <w:color w:val="000000" w:themeColor="text1"/>
          <w:sz w:val="20"/>
          <w:szCs w:val="20"/>
          <w:shd w:val="clear" w:color="auto" w:fill="FFFFFF"/>
          <w:lang w:val="en-GB"/>
        </w:rPr>
        <w:t>India’s lived experience of federal arrangements and special autonomies is compromised by the anxiety over the integrity and unity in a multi</w:t>
      </w:r>
      <w:r w:rsidR="001209DF" w:rsidRPr="001209DF">
        <w:rPr>
          <w:rFonts w:ascii="Arial" w:hAnsi="Arial" w:cs="Arial"/>
          <w:b/>
          <w:color w:val="000000" w:themeColor="text1"/>
          <w:sz w:val="20"/>
          <w:szCs w:val="20"/>
          <w:shd w:val="clear" w:color="auto" w:fill="FFFFFF"/>
          <w:lang w:val="en-GB"/>
        </w:rPr>
        <w:t>-</w:t>
      </w:r>
      <w:r w:rsidRPr="001209DF">
        <w:rPr>
          <w:rFonts w:ascii="Arial" w:hAnsi="Arial" w:cs="Arial"/>
          <w:b/>
          <w:color w:val="000000" w:themeColor="text1"/>
          <w:sz w:val="20"/>
          <w:szCs w:val="20"/>
          <w:shd w:val="clear" w:color="auto" w:fill="FFFFFF"/>
          <w:lang w:val="en-GB"/>
        </w:rPr>
        <w:t>ethnic, multi</w:t>
      </w:r>
      <w:r w:rsidR="001209DF" w:rsidRPr="001209DF">
        <w:rPr>
          <w:rFonts w:ascii="Arial" w:hAnsi="Arial" w:cs="Arial"/>
          <w:b/>
          <w:color w:val="000000" w:themeColor="text1"/>
          <w:sz w:val="20"/>
          <w:szCs w:val="20"/>
          <w:shd w:val="clear" w:color="auto" w:fill="FFFFFF"/>
          <w:lang w:val="en-GB"/>
        </w:rPr>
        <w:t>-</w:t>
      </w:r>
      <w:r w:rsidRPr="001209DF">
        <w:rPr>
          <w:rFonts w:ascii="Arial" w:hAnsi="Arial" w:cs="Arial"/>
          <w:b/>
          <w:color w:val="000000" w:themeColor="text1"/>
          <w:sz w:val="20"/>
          <w:szCs w:val="20"/>
          <w:shd w:val="clear" w:color="auto" w:fill="FFFFFF"/>
          <w:lang w:val="en-GB"/>
        </w:rPr>
        <w:t>religious and multi</w:t>
      </w:r>
      <w:r w:rsidR="001209DF" w:rsidRPr="001209DF">
        <w:rPr>
          <w:rFonts w:ascii="Arial" w:hAnsi="Arial" w:cs="Arial"/>
          <w:b/>
          <w:color w:val="000000" w:themeColor="text1"/>
          <w:sz w:val="20"/>
          <w:szCs w:val="20"/>
          <w:shd w:val="clear" w:color="auto" w:fill="FFFFFF"/>
          <w:lang w:val="en-GB"/>
        </w:rPr>
        <w:t>-</w:t>
      </w:r>
      <w:r w:rsidRPr="001209DF">
        <w:rPr>
          <w:rFonts w:ascii="Arial" w:hAnsi="Arial" w:cs="Arial"/>
          <w:b/>
          <w:color w:val="000000" w:themeColor="text1"/>
          <w:sz w:val="20"/>
          <w:szCs w:val="20"/>
          <w:shd w:val="clear" w:color="auto" w:fill="FFFFFF"/>
          <w:lang w:val="en-GB"/>
        </w:rPr>
        <w:t>lingual society.</w:t>
      </w:r>
    </w:p>
    <w:p w:rsidR="00CB5AAB" w:rsidRPr="001209DF" w:rsidRDefault="00CB5AAB" w:rsidP="00001F6A">
      <w:pPr>
        <w:spacing w:after="0" w:line="240" w:lineRule="auto"/>
        <w:jc w:val="both"/>
        <w:rPr>
          <w:rFonts w:ascii="Arial" w:hAnsi="Arial" w:cs="Arial"/>
          <w:color w:val="000000" w:themeColor="text1"/>
          <w:sz w:val="20"/>
          <w:szCs w:val="20"/>
          <w:shd w:val="clear" w:color="auto" w:fill="FFFFFF"/>
          <w:lang w:val="en-GB"/>
        </w:rPr>
      </w:pPr>
    </w:p>
    <w:p w:rsidR="00CB5AAB" w:rsidRPr="00FA0CCB" w:rsidRDefault="00CB5AAB" w:rsidP="00AF0071">
      <w:pPr>
        <w:pStyle w:val="ListParagraph"/>
        <w:numPr>
          <w:ilvl w:val="0"/>
          <w:numId w:val="1"/>
        </w:numPr>
        <w:spacing w:after="0" w:line="240" w:lineRule="auto"/>
        <w:jc w:val="both"/>
        <w:rPr>
          <w:rFonts w:ascii="Arial" w:hAnsi="Arial" w:cs="Arial"/>
          <w:b/>
          <w:color w:val="000000" w:themeColor="text1"/>
          <w:sz w:val="20"/>
          <w:szCs w:val="20"/>
          <w:shd w:val="clear" w:color="auto" w:fill="FFFFFF"/>
          <w:lang w:val="en-GB"/>
        </w:rPr>
      </w:pPr>
      <w:r w:rsidRPr="00FA0CCB">
        <w:rPr>
          <w:rFonts w:ascii="Arial" w:hAnsi="Arial" w:cs="Arial"/>
          <w:b/>
          <w:color w:val="000000" w:themeColor="text1"/>
          <w:sz w:val="20"/>
          <w:szCs w:val="20"/>
          <w:shd w:val="clear" w:color="auto" w:fill="FFFFFF"/>
          <w:lang w:val="en-GB"/>
        </w:rPr>
        <w:t xml:space="preserve">Fundamental Freedoms in Special Status States /Areas </w:t>
      </w:r>
      <w:r w:rsidR="00AF0071" w:rsidRPr="00FA0CCB">
        <w:rPr>
          <w:rFonts w:ascii="Arial" w:hAnsi="Arial" w:cs="Arial"/>
          <w:b/>
          <w:color w:val="000000" w:themeColor="text1"/>
          <w:sz w:val="20"/>
          <w:szCs w:val="20"/>
          <w:shd w:val="clear" w:color="auto" w:fill="FFFFFF"/>
          <w:lang w:val="en-GB"/>
        </w:rPr>
        <w:t>–</w:t>
      </w:r>
      <w:r w:rsidRPr="00FA0CCB">
        <w:rPr>
          <w:rFonts w:ascii="Arial" w:hAnsi="Arial" w:cs="Arial"/>
          <w:b/>
          <w:color w:val="000000" w:themeColor="text1"/>
          <w:sz w:val="20"/>
          <w:szCs w:val="20"/>
          <w:shd w:val="clear" w:color="auto" w:fill="FFFFFF"/>
          <w:lang w:val="en-GB"/>
        </w:rPr>
        <w:t xml:space="preserve"> Compromised</w:t>
      </w:r>
    </w:p>
    <w:p w:rsidR="00AF0071" w:rsidRPr="00FA0CCB" w:rsidRDefault="00AF0071" w:rsidP="00AF0071">
      <w:pPr>
        <w:pStyle w:val="ListParagraph"/>
        <w:spacing w:after="0" w:line="240" w:lineRule="auto"/>
        <w:jc w:val="both"/>
        <w:rPr>
          <w:rFonts w:ascii="Arial" w:hAnsi="Arial" w:cs="Arial"/>
          <w:b/>
          <w:color w:val="000000" w:themeColor="text1"/>
          <w:sz w:val="20"/>
          <w:szCs w:val="20"/>
          <w:shd w:val="clear" w:color="auto" w:fill="FFFFFF"/>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shd w:val="clear" w:color="auto" w:fill="FFFFFF"/>
          <w:lang w:val="en-GB"/>
        </w:rPr>
        <w:t>In the special status s</w:t>
      </w:r>
      <w:r w:rsidR="001209DF">
        <w:rPr>
          <w:rFonts w:ascii="Arial" w:hAnsi="Arial" w:cs="Arial"/>
          <w:color w:val="000000" w:themeColor="text1"/>
          <w:sz w:val="20"/>
          <w:szCs w:val="20"/>
          <w:shd w:val="clear" w:color="auto" w:fill="FFFFFF"/>
          <w:lang w:val="en-GB"/>
        </w:rPr>
        <w:t>t</w:t>
      </w:r>
      <w:r w:rsidRPr="001209DF">
        <w:rPr>
          <w:rFonts w:ascii="Arial" w:hAnsi="Arial" w:cs="Arial"/>
          <w:color w:val="000000" w:themeColor="text1"/>
          <w:sz w:val="20"/>
          <w:szCs w:val="20"/>
          <w:shd w:val="clear" w:color="auto" w:fill="FFFFFF"/>
          <w:lang w:val="en-GB"/>
        </w:rPr>
        <w:t xml:space="preserve">ates of the Northeast and Jammu &amp; Kashmir, the President’s representative, the Governor has special responsibility for law and order and the authority to determine a state </w:t>
      </w:r>
      <w:r w:rsidR="001209DF">
        <w:rPr>
          <w:rFonts w:ascii="Arial" w:hAnsi="Arial" w:cs="Arial"/>
          <w:color w:val="000000" w:themeColor="text1"/>
          <w:sz w:val="20"/>
          <w:szCs w:val="20"/>
          <w:shd w:val="clear" w:color="auto" w:fill="FFFFFF"/>
          <w:lang w:val="en-GB"/>
        </w:rPr>
        <w:t>‘</w:t>
      </w:r>
      <w:r w:rsidRPr="001209DF">
        <w:rPr>
          <w:rFonts w:ascii="Arial" w:hAnsi="Arial" w:cs="Arial"/>
          <w:color w:val="000000" w:themeColor="text1"/>
          <w:sz w:val="20"/>
          <w:szCs w:val="20"/>
          <w:shd w:val="clear" w:color="auto" w:fill="FFFFFF"/>
          <w:lang w:val="en-GB"/>
        </w:rPr>
        <w:t>internally disturbed</w:t>
      </w:r>
      <w:r w:rsidR="001209DF">
        <w:rPr>
          <w:rFonts w:ascii="Arial" w:hAnsi="Arial" w:cs="Arial"/>
          <w:color w:val="000000" w:themeColor="text1"/>
          <w:sz w:val="20"/>
          <w:szCs w:val="20"/>
          <w:shd w:val="clear" w:color="auto" w:fill="FFFFFF"/>
          <w:lang w:val="en-GB"/>
        </w:rPr>
        <w:t>’</w:t>
      </w:r>
      <w:r w:rsidRPr="001209DF">
        <w:rPr>
          <w:rFonts w:ascii="Arial" w:hAnsi="Arial" w:cs="Arial"/>
          <w:color w:val="000000" w:themeColor="text1"/>
          <w:sz w:val="20"/>
          <w:szCs w:val="20"/>
          <w:shd w:val="clear" w:color="auto" w:fill="FFFFFF"/>
          <w:lang w:val="en-GB"/>
        </w:rPr>
        <w:t>. In what is deemed a ‘disturbed area’ the state can enact Armed Forces Special Powers Act</w:t>
      </w:r>
      <w:r w:rsidR="001209DF">
        <w:rPr>
          <w:rFonts w:ascii="Arial" w:hAnsi="Arial" w:cs="Arial"/>
          <w:color w:val="000000" w:themeColor="text1"/>
          <w:sz w:val="20"/>
          <w:szCs w:val="20"/>
          <w:shd w:val="clear" w:color="auto" w:fill="FFFFFF"/>
          <w:lang w:val="en-GB"/>
        </w:rPr>
        <w:t xml:space="preserve"> </w:t>
      </w:r>
      <w:r w:rsidRPr="001209DF">
        <w:rPr>
          <w:rFonts w:ascii="Arial" w:hAnsi="Arial" w:cs="Arial"/>
          <w:color w:val="000000" w:themeColor="text1"/>
          <w:sz w:val="20"/>
          <w:szCs w:val="20"/>
          <w:lang w:val="en-GB"/>
        </w:rPr>
        <w:t>(AFSPA) so as to confer special powers on the army for action in ‘disturbed areas’. AFSPA, a colonial law, was first enacted in 1958 to curb armed insurgency in Nagaland, and has been extended to cover much of the Northeast and Jammu and Kashmir. It has become the symbol of abuse of force without accountability and repeated demands from state governments as well as civil society groups for its removal have been resisted by the army. AFSPA has converted these ‘disturbed areas’ into zones of exception where fundamental rights do not apply.</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Under AFSPA 'prior sanction’ is required from the executive authority for criminal prosecution. It has proved an insurmountable obstacle for families seeking redress for disappearances, extra-judicial killings and sexual assault</w:t>
      </w:r>
      <w:r w:rsidR="001209DF">
        <w:rPr>
          <w:rFonts w:ascii="Arial" w:hAnsi="Arial" w:cs="Arial"/>
          <w:color w:val="000000" w:themeColor="text1"/>
          <w:sz w:val="20"/>
          <w:szCs w:val="20"/>
          <w:lang w:val="en-GB"/>
        </w:rPr>
        <w:t>: they are</w:t>
      </w:r>
      <w:r w:rsidRPr="001209DF">
        <w:rPr>
          <w:rFonts w:ascii="Arial" w:hAnsi="Arial" w:cs="Arial"/>
          <w:color w:val="000000" w:themeColor="text1"/>
          <w:sz w:val="20"/>
          <w:szCs w:val="20"/>
          <w:lang w:val="en-GB"/>
        </w:rPr>
        <w:t xml:space="preserve"> at high risk of reprisals if they complain about the conduct of the security forces. No request for grant of sanction for the prosecution of Indian Army personnel has been given,</w:t>
      </w:r>
      <w:r w:rsidRPr="001209DF">
        <w:rPr>
          <w:rStyle w:val="FootnoteReference"/>
          <w:rFonts w:ascii="Arial" w:hAnsi="Arial" w:cs="Arial"/>
          <w:color w:val="000000" w:themeColor="text1"/>
          <w:sz w:val="20"/>
          <w:szCs w:val="20"/>
          <w:lang w:val="en-GB"/>
        </w:rPr>
        <w:footnoteReference w:id="28"/>
      </w:r>
      <w:r w:rsidRPr="001209DF">
        <w:rPr>
          <w:rFonts w:ascii="Arial" w:hAnsi="Arial" w:cs="Arial"/>
          <w:color w:val="000000" w:themeColor="text1"/>
          <w:sz w:val="20"/>
          <w:szCs w:val="20"/>
          <w:lang w:val="en-GB"/>
        </w:rPr>
        <w:t xml:space="preserve"> though in some cases the Army has opted for a court martial under the Army Act (1950). The </w:t>
      </w:r>
      <w:proofErr w:type="spellStart"/>
      <w:r w:rsidRPr="001209DF">
        <w:rPr>
          <w:rFonts w:ascii="Arial" w:hAnsi="Arial" w:cs="Arial"/>
          <w:color w:val="000000" w:themeColor="text1"/>
          <w:sz w:val="20"/>
          <w:szCs w:val="20"/>
          <w:lang w:val="en-GB"/>
        </w:rPr>
        <w:t>Verma</w:t>
      </w:r>
      <w:proofErr w:type="spellEnd"/>
      <w:r w:rsidRPr="001209DF">
        <w:rPr>
          <w:rFonts w:ascii="Arial" w:hAnsi="Arial" w:cs="Arial"/>
          <w:color w:val="000000" w:themeColor="text1"/>
          <w:sz w:val="20"/>
          <w:szCs w:val="20"/>
          <w:lang w:val="en-GB"/>
        </w:rPr>
        <w:t xml:space="preserve"> Committee (2014) had recommended waiving ‘prior sanction’ </w:t>
      </w:r>
      <w:r w:rsidRPr="001209DF">
        <w:rPr>
          <w:rFonts w:ascii="Arial" w:hAnsi="Arial" w:cs="Arial"/>
          <w:color w:val="000000" w:themeColor="text1"/>
          <w:sz w:val="20"/>
          <w:szCs w:val="20"/>
          <w:shd w:val="clear" w:color="auto" w:fill="FFFFFF"/>
          <w:lang w:val="en-GB"/>
        </w:rPr>
        <w:t>when a sexual offence is alleged.</w:t>
      </w:r>
      <w:r w:rsidRPr="001209DF">
        <w:rPr>
          <w:rFonts w:ascii="Arial" w:hAnsi="Arial" w:cs="Arial"/>
          <w:color w:val="000000" w:themeColor="text1"/>
          <w:sz w:val="20"/>
          <w:szCs w:val="20"/>
          <w:lang w:val="en-GB"/>
        </w:rPr>
        <w:t xml:space="preserve"> Northeast peace processes have ignored access to justice for sexual violence, disappearances and torture. </w:t>
      </w: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   </w:t>
      </w:r>
    </w:p>
    <w:p w:rsidR="00CB5AAB" w:rsidRDefault="00CB5AAB" w:rsidP="00AF0071">
      <w:pPr>
        <w:pStyle w:val="ListParagraph"/>
        <w:numPr>
          <w:ilvl w:val="0"/>
          <w:numId w:val="1"/>
        </w:numPr>
        <w:spacing w:after="0" w:line="240" w:lineRule="auto"/>
        <w:jc w:val="both"/>
        <w:rPr>
          <w:rFonts w:ascii="Arial" w:hAnsi="Arial" w:cs="Arial"/>
          <w:b/>
          <w:color w:val="000000" w:themeColor="text1"/>
          <w:sz w:val="20"/>
          <w:szCs w:val="20"/>
          <w:lang w:val="en-GB"/>
        </w:rPr>
      </w:pPr>
      <w:r w:rsidRPr="00AF0071">
        <w:rPr>
          <w:rFonts w:ascii="Arial" w:hAnsi="Arial" w:cs="Arial"/>
          <w:b/>
          <w:color w:val="000000" w:themeColor="text1"/>
          <w:sz w:val="20"/>
          <w:szCs w:val="20"/>
          <w:lang w:val="en-GB"/>
        </w:rPr>
        <w:t xml:space="preserve">Recognition of </w:t>
      </w:r>
      <w:r w:rsidR="00001F6A" w:rsidRPr="00AF0071">
        <w:rPr>
          <w:rFonts w:ascii="Arial" w:hAnsi="Arial" w:cs="Arial"/>
          <w:b/>
          <w:color w:val="000000" w:themeColor="text1"/>
          <w:sz w:val="20"/>
          <w:szCs w:val="20"/>
          <w:lang w:val="en-GB"/>
        </w:rPr>
        <w:t xml:space="preserve">the </w:t>
      </w:r>
      <w:r w:rsidRPr="00AF0071">
        <w:rPr>
          <w:rFonts w:ascii="Arial" w:hAnsi="Arial" w:cs="Arial"/>
          <w:b/>
          <w:color w:val="000000" w:themeColor="text1"/>
          <w:sz w:val="20"/>
          <w:szCs w:val="20"/>
          <w:lang w:val="en-GB"/>
        </w:rPr>
        <w:t>Role of NGO</w:t>
      </w:r>
      <w:r w:rsidR="00001F6A" w:rsidRPr="00AF0071">
        <w:rPr>
          <w:rFonts w:ascii="Arial" w:hAnsi="Arial" w:cs="Arial"/>
          <w:b/>
          <w:color w:val="000000" w:themeColor="text1"/>
          <w:sz w:val="20"/>
          <w:szCs w:val="20"/>
          <w:lang w:val="en-GB"/>
        </w:rPr>
        <w:t>s</w:t>
      </w:r>
      <w:r w:rsidRPr="00AF0071">
        <w:rPr>
          <w:rFonts w:ascii="Arial" w:hAnsi="Arial" w:cs="Arial"/>
          <w:b/>
          <w:color w:val="000000" w:themeColor="text1"/>
          <w:sz w:val="20"/>
          <w:szCs w:val="20"/>
          <w:lang w:val="en-GB"/>
        </w:rPr>
        <w:t xml:space="preserve"> in Special Status States/ </w:t>
      </w:r>
      <w:r w:rsidR="001209DF" w:rsidRPr="00AF0071">
        <w:rPr>
          <w:rFonts w:ascii="Arial" w:hAnsi="Arial" w:cs="Arial"/>
          <w:b/>
          <w:color w:val="000000" w:themeColor="text1"/>
          <w:sz w:val="20"/>
          <w:szCs w:val="20"/>
          <w:lang w:val="en-GB"/>
        </w:rPr>
        <w:t>A</w:t>
      </w:r>
      <w:r w:rsidRPr="00AF0071">
        <w:rPr>
          <w:rFonts w:ascii="Arial" w:hAnsi="Arial" w:cs="Arial"/>
          <w:b/>
          <w:color w:val="000000" w:themeColor="text1"/>
          <w:sz w:val="20"/>
          <w:szCs w:val="20"/>
          <w:lang w:val="en-GB"/>
        </w:rPr>
        <w:t xml:space="preserve">utonomous </w:t>
      </w:r>
      <w:r w:rsidR="001209DF" w:rsidRPr="00AF0071">
        <w:rPr>
          <w:rFonts w:ascii="Arial" w:hAnsi="Arial" w:cs="Arial"/>
          <w:b/>
          <w:color w:val="000000" w:themeColor="text1"/>
          <w:sz w:val="20"/>
          <w:szCs w:val="20"/>
          <w:lang w:val="en-GB"/>
        </w:rPr>
        <w:t>A</w:t>
      </w:r>
      <w:r w:rsidRPr="00AF0071">
        <w:rPr>
          <w:rFonts w:ascii="Arial" w:hAnsi="Arial" w:cs="Arial"/>
          <w:b/>
          <w:color w:val="000000" w:themeColor="text1"/>
          <w:sz w:val="20"/>
          <w:szCs w:val="20"/>
          <w:lang w:val="en-GB"/>
        </w:rPr>
        <w:t xml:space="preserve">reas </w:t>
      </w:r>
    </w:p>
    <w:p w:rsidR="00AF0071" w:rsidRPr="00AF0071" w:rsidRDefault="00AF0071" w:rsidP="00AF0071">
      <w:pPr>
        <w:pStyle w:val="ListParagraph"/>
        <w:spacing w:after="0" w:line="240" w:lineRule="auto"/>
        <w:jc w:val="both"/>
        <w:rPr>
          <w:rFonts w:ascii="Arial" w:hAnsi="Arial" w:cs="Arial"/>
          <w:b/>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As elaborated above, societies emerging from conflict have strong civil societies bodies embedded in the socio-cultural mobilization around national/ sub-national movements. In particular, the context of militarized conflict sees the emergence of powerful human rights bodies – NPMHR, Manipur Human Rights Alert and a panoply of Mothers’ Fronts. Moreover, the asymmetry of power in these peace negotiations often propels the ‘rebel’ group to reach for the support and endorsement of civil society bodies to strategically balance state power. This is di</w:t>
      </w:r>
      <w:r w:rsidR="00001F6A">
        <w:rPr>
          <w:rFonts w:ascii="Arial" w:hAnsi="Arial" w:cs="Arial"/>
          <w:color w:val="000000" w:themeColor="text1"/>
          <w:sz w:val="20"/>
          <w:szCs w:val="20"/>
          <w:lang w:val="en-GB"/>
        </w:rPr>
        <w:t>s</w:t>
      </w:r>
      <w:r w:rsidRPr="001209DF">
        <w:rPr>
          <w:rFonts w:ascii="Arial" w:hAnsi="Arial" w:cs="Arial"/>
          <w:color w:val="000000" w:themeColor="text1"/>
          <w:sz w:val="20"/>
          <w:szCs w:val="20"/>
          <w:lang w:val="en-GB"/>
        </w:rPr>
        <w:t xml:space="preserve">cernible in the Naga peace process in the significant role played by the Naga </w:t>
      </w:r>
      <w:proofErr w:type="gramStart"/>
      <w:r w:rsidRPr="001209DF">
        <w:rPr>
          <w:rFonts w:ascii="Arial" w:hAnsi="Arial" w:cs="Arial"/>
          <w:color w:val="000000" w:themeColor="text1"/>
          <w:sz w:val="20"/>
          <w:szCs w:val="20"/>
          <w:lang w:val="en-GB"/>
        </w:rPr>
        <w:t>tribes</w:t>
      </w:r>
      <w:proofErr w:type="gramEnd"/>
      <w:r w:rsidRPr="001209DF">
        <w:rPr>
          <w:rFonts w:ascii="Arial" w:hAnsi="Arial" w:cs="Arial"/>
          <w:color w:val="000000" w:themeColor="text1"/>
          <w:sz w:val="20"/>
          <w:szCs w:val="20"/>
          <w:lang w:val="en-GB"/>
        </w:rPr>
        <w:t xml:space="preserve"> apex bodies, Naga Ho </w:t>
      </w:r>
      <w:proofErr w:type="spellStart"/>
      <w:r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t xml:space="preserve">, ENPO, Naga Students Federation (NSF) and </w:t>
      </w:r>
      <w:r w:rsidR="00001F6A">
        <w:rPr>
          <w:rFonts w:ascii="Arial" w:hAnsi="Arial" w:cs="Arial"/>
          <w:color w:val="000000" w:themeColor="text1"/>
          <w:sz w:val="20"/>
          <w:szCs w:val="20"/>
          <w:lang w:val="en-GB"/>
        </w:rPr>
        <w:t xml:space="preserve">the </w:t>
      </w:r>
      <w:r w:rsidRPr="001209DF">
        <w:rPr>
          <w:rFonts w:ascii="Arial" w:hAnsi="Arial" w:cs="Arial"/>
          <w:color w:val="000000" w:themeColor="text1"/>
          <w:sz w:val="20"/>
          <w:szCs w:val="20"/>
          <w:lang w:val="en-GB"/>
        </w:rPr>
        <w:t xml:space="preserve">women’s groups NMA and NWU, as detailed above. The limits in the scope of that role and trust especially in the ability to take civil society bodies into confidence has also been mentioned. However, </w:t>
      </w:r>
      <w:r w:rsidRPr="00001F6A">
        <w:rPr>
          <w:rFonts w:ascii="Arial" w:hAnsi="Arial" w:cs="Arial"/>
          <w:b/>
          <w:color w:val="000000" w:themeColor="text1"/>
          <w:sz w:val="20"/>
          <w:szCs w:val="20"/>
          <w:lang w:val="en-GB"/>
        </w:rPr>
        <w:t>neither GOI nor the leaders of the Naga ‘national’ movement recognise the civil society bodies as legitimate stakeholders having a claim on drawing up a Peace Agreement</w:t>
      </w:r>
      <w:r w:rsidRPr="001209DF">
        <w:rPr>
          <w:rFonts w:ascii="Arial" w:hAnsi="Arial" w:cs="Arial"/>
          <w:color w:val="000000" w:themeColor="text1"/>
          <w:sz w:val="20"/>
          <w:szCs w:val="20"/>
          <w:lang w:val="en-GB"/>
        </w:rPr>
        <w:t>. Government agencies either seek to co-opt them, or dismiss them as irrelevant ‘proxies’.</w:t>
      </w:r>
      <w:r w:rsidRPr="001209DF">
        <w:rPr>
          <w:rStyle w:val="FootnoteReference"/>
          <w:rFonts w:ascii="Arial" w:hAnsi="Arial" w:cs="Arial"/>
          <w:color w:val="000000" w:themeColor="text1"/>
          <w:sz w:val="20"/>
          <w:szCs w:val="20"/>
          <w:lang w:val="en-GB"/>
        </w:rPr>
        <w:footnoteReference w:id="29"/>
      </w:r>
      <w:r w:rsidRPr="001209DF">
        <w:rPr>
          <w:rFonts w:ascii="Arial" w:hAnsi="Arial" w:cs="Arial"/>
          <w:color w:val="000000" w:themeColor="text1"/>
          <w:sz w:val="20"/>
          <w:szCs w:val="20"/>
          <w:lang w:val="en-GB"/>
        </w:rPr>
        <w:t xml:space="preserve">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In the political settlement of community</w:t>
      </w:r>
      <w:r w:rsidR="00001F6A">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based political mobilisations, the centrality of protecting and promoting customary laws and practices requires the governing authority to ally with traditional tribal structures of power and knowledge and especially their civil society apex bodies. As elaborated above, the civil society bodies, especially the Naga apex organisations –Naga Ho </w:t>
      </w:r>
      <w:proofErr w:type="spellStart"/>
      <w:r w:rsidRPr="001209DF">
        <w:rPr>
          <w:rFonts w:ascii="Arial" w:hAnsi="Arial" w:cs="Arial"/>
          <w:color w:val="000000" w:themeColor="text1"/>
          <w:sz w:val="20"/>
          <w:szCs w:val="20"/>
          <w:lang w:val="en-GB"/>
        </w:rPr>
        <w:t>Ho</w:t>
      </w:r>
      <w:proofErr w:type="spellEnd"/>
      <w:r w:rsidRPr="001209DF">
        <w:rPr>
          <w:rFonts w:ascii="Arial" w:hAnsi="Arial" w:cs="Arial"/>
          <w:color w:val="000000" w:themeColor="text1"/>
          <w:sz w:val="20"/>
          <w:szCs w:val="20"/>
          <w:lang w:val="en-GB"/>
        </w:rPr>
        <w:t>, ENPO</w:t>
      </w:r>
      <w:r w:rsidR="00001F6A" w:rsidRPr="001209DF">
        <w:rPr>
          <w:rFonts w:ascii="Arial" w:hAnsi="Arial" w:cs="Arial"/>
          <w:color w:val="000000" w:themeColor="text1"/>
          <w:sz w:val="20"/>
          <w:szCs w:val="20"/>
          <w:lang w:val="en-GB"/>
        </w:rPr>
        <w:t>–</w:t>
      </w:r>
      <w:r w:rsidR="00001F6A">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have become ‘permanent’ participants in decision</w:t>
      </w:r>
      <w:r w:rsidR="00001F6A">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making structures on issues that come within the ambit of Art 371A. On the two occasions when the Nagaland Legislative Assembly invoked Art 371 A to override the Union Government, that is over the control of oil and gas resources, and withdrawal of the enabling law on town and municipal council elections (and the women’s quota) the Naga tribes </w:t>
      </w:r>
      <w:r w:rsidR="00001F6A">
        <w:rPr>
          <w:rFonts w:ascii="Arial" w:hAnsi="Arial" w:cs="Arial"/>
          <w:color w:val="000000" w:themeColor="text1"/>
          <w:sz w:val="20"/>
          <w:szCs w:val="20"/>
          <w:lang w:val="en-GB"/>
        </w:rPr>
        <w:t>H</w:t>
      </w:r>
      <w:r w:rsidRPr="00001F6A">
        <w:rPr>
          <w:rFonts w:ascii="Arial" w:hAnsi="Arial" w:cs="Arial"/>
          <w:color w:val="000000" w:themeColor="text1"/>
          <w:sz w:val="20"/>
          <w:szCs w:val="20"/>
          <w:lang w:val="en-GB"/>
        </w:rPr>
        <w:t xml:space="preserve">o </w:t>
      </w:r>
      <w:proofErr w:type="spellStart"/>
      <w:r w:rsidR="00001F6A">
        <w:rPr>
          <w:rFonts w:ascii="Arial" w:hAnsi="Arial" w:cs="Arial"/>
          <w:color w:val="000000" w:themeColor="text1"/>
          <w:sz w:val="20"/>
          <w:szCs w:val="20"/>
          <w:lang w:val="en-GB"/>
        </w:rPr>
        <w:t>H</w:t>
      </w:r>
      <w:r w:rsidRPr="00001F6A">
        <w:rPr>
          <w:rFonts w:ascii="Arial" w:hAnsi="Arial" w:cs="Arial"/>
          <w:color w:val="000000" w:themeColor="text1"/>
          <w:sz w:val="20"/>
          <w:szCs w:val="20"/>
          <w:lang w:val="en-GB"/>
        </w:rPr>
        <w:t>o</w:t>
      </w:r>
      <w:proofErr w:type="spellEnd"/>
      <w:r w:rsidRPr="001209DF">
        <w:rPr>
          <w:rFonts w:ascii="Arial" w:hAnsi="Arial" w:cs="Arial"/>
          <w:color w:val="000000" w:themeColor="text1"/>
          <w:sz w:val="20"/>
          <w:szCs w:val="20"/>
          <w:lang w:val="en-GB"/>
        </w:rPr>
        <w:t xml:space="preserve"> (bodies) played a determining role.</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 xml:space="preserve">While, the long cold peace has blunted the oppositional edge of the civil society bodies, including the women’s associations, yet on occasion the Naga Mothers have shown their mettle demanding accountability for human rights abuses against women. In Kohima in 2012 when IM cadres barged into the house of the retired Registrar, an </w:t>
      </w:r>
      <w:proofErr w:type="spellStart"/>
      <w:r w:rsidRPr="001209DF">
        <w:rPr>
          <w:rFonts w:ascii="Arial" w:hAnsi="Arial" w:cs="Arial"/>
          <w:color w:val="000000" w:themeColor="text1"/>
          <w:sz w:val="20"/>
          <w:szCs w:val="20"/>
          <w:lang w:val="en-GB"/>
        </w:rPr>
        <w:t>Ao</w:t>
      </w:r>
      <w:proofErr w:type="spellEnd"/>
      <w:r w:rsidRPr="001209DF">
        <w:rPr>
          <w:rFonts w:ascii="Arial" w:hAnsi="Arial" w:cs="Arial"/>
          <w:color w:val="000000" w:themeColor="text1"/>
          <w:sz w:val="20"/>
          <w:szCs w:val="20"/>
          <w:lang w:val="en-GB"/>
        </w:rPr>
        <w:t xml:space="preserve"> tribal, and shot her, thousands of Naga women and men took out a public rally demanding that the police catch the accused. Exasperated at the wall of impunity, some 30 women went to Delhi to meet the top IM leader </w:t>
      </w:r>
      <w:proofErr w:type="spellStart"/>
      <w:r w:rsidRPr="001209DF">
        <w:rPr>
          <w:rFonts w:ascii="Arial" w:hAnsi="Arial" w:cs="Arial"/>
          <w:color w:val="000000" w:themeColor="text1"/>
          <w:sz w:val="20"/>
          <w:szCs w:val="20"/>
          <w:lang w:val="en-GB"/>
        </w:rPr>
        <w:t>Th</w:t>
      </w:r>
      <w:proofErr w:type="spellEnd"/>
      <w:r w:rsidRPr="001209DF">
        <w:rPr>
          <w:rFonts w:ascii="Arial" w:hAnsi="Arial" w:cs="Arial"/>
          <w:color w:val="000000" w:themeColor="text1"/>
          <w:sz w:val="20"/>
          <w:szCs w:val="20"/>
          <w:lang w:val="en-GB"/>
        </w:rPr>
        <w:t xml:space="preserve"> </w:t>
      </w:r>
      <w:proofErr w:type="spellStart"/>
      <w:r w:rsidRPr="001209DF">
        <w:rPr>
          <w:rFonts w:ascii="Arial" w:hAnsi="Arial" w:cs="Arial"/>
          <w:color w:val="000000" w:themeColor="text1"/>
          <w:sz w:val="20"/>
          <w:szCs w:val="20"/>
          <w:lang w:val="en-GB"/>
        </w:rPr>
        <w:t>Muivah</w:t>
      </w:r>
      <w:proofErr w:type="spellEnd"/>
      <w:r w:rsidRPr="001209DF">
        <w:rPr>
          <w:rFonts w:ascii="Arial" w:hAnsi="Arial" w:cs="Arial"/>
          <w:color w:val="000000" w:themeColor="text1"/>
          <w:sz w:val="20"/>
          <w:szCs w:val="20"/>
          <w:lang w:val="en-GB"/>
        </w:rPr>
        <w:t xml:space="preserve"> and demand justice, warning they would go public to Amnesty International unless action was taken within a month’s time. It also demonstrated the capacity and will of civil society bodies to leverage trans-national human rights networks and as seen below India’s obligations under international treaty bodies and mechanisms.</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FA0CCB" w:rsidRDefault="00CB5AAB" w:rsidP="00FA0CCB">
      <w:pPr>
        <w:pStyle w:val="ListParagraph"/>
        <w:numPr>
          <w:ilvl w:val="0"/>
          <w:numId w:val="1"/>
        </w:numPr>
        <w:spacing w:after="0" w:line="240" w:lineRule="auto"/>
        <w:jc w:val="both"/>
        <w:rPr>
          <w:rFonts w:ascii="Arial" w:hAnsi="Arial" w:cs="Arial"/>
          <w:b/>
          <w:color w:val="000000" w:themeColor="text1"/>
          <w:sz w:val="20"/>
          <w:szCs w:val="20"/>
          <w:lang w:val="en-GB"/>
        </w:rPr>
      </w:pPr>
      <w:r w:rsidRPr="00FA0CCB">
        <w:rPr>
          <w:rFonts w:ascii="Arial" w:hAnsi="Arial" w:cs="Arial"/>
          <w:b/>
          <w:color w:val="000000" w:themeColor="text1"/>
          <w:sz w:val="20"/>
          <w:szCs w:val="20"/>
          <w:lang w:val="en-GB"/>
        </w:rPr>
        <w:t xml:space="preserve">NGOs Civil Society </w:t>
      </w:r>
      <w:r w:rsidR="00001F6A" w:rsidRPr="00FA0CCB">
        <w:rPr>
          <w:rFonts w:ascii="Arial" w:hAnsi="Arial" w:cs="Arial"/>
          <w:b/>
          <w:color w:val="000000" w:themeColor="text1"/>
          <w:sz w:val="20"/>
          <w:szCs w:val="20"/>
          <w:lang w:val="en-GB"/>
        </w:rPr>
        <w:t>B</w:t>
      </w:r>
      <w:r w:rsidRPr="00FA0CCB">
        <w:rPr>
          <w:rFonts w:ascii="Arial" w:hAnsi="Arial" w:cs="Arial"/>
          <w:b/>
          <w:color w:val="000000" w:themeColor="text1"/>
          <w:sz w:val="20"/>
          <w:szCs w:val="20"/>
          <w:lang w:val="en-GB"/>
        </w:rPr>
        <w:t xml:space="preserve">odies: Rights &amp; Restrictions </w:t>
      </w:r>
    </w:p>
    <w:p w:rsidR="00FA0CCB" w:rsidRPr="001209DF" w:rsidRDefault="00FA0CC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There are no specific provisions for the protection and promotion of rights</w:t>
      </w:r>
      <w:r w:rsidR="00001F6A">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based civil society bodies/NGOs in special status states/autonomous areas beyond the </w:t>
      </w:r>
      <w:r w:rsidR="00001F6A">
        <w:rPr>
          <w:rFonts w:ascii="Arial" w:hAnsi="Arial" w:cs="Arial"/>
          <w:color w:val="000000" w:themeColor="text1"/>
          <w:sz w:val="20"/>
          <w:szCs w:val="20"/>
          <w:lang w:val="en-GB"/>
        </w:rPr>
        <w:t>F</w:t>
      </w:r>
      <w:r w:rsidRPr="001209DF">
        <w:rPr>
          <w:rFonts w:ascii="Arial" w:hAnsi="Arial" w:cs="Arial"/>
          <w:color w:val="000000" w:themeColor="text1"/>
          <w:sz w:val="20"/>
          <w:szCs w:val="20"/>
          <w:lang w:val="en-GB"/>
        </w:rPr>
        <w:t xml:space="preserve">undamental </w:t>
      </w:r>
      <w:r w:rsidR="00001F6A">
        <w:rPr>
          <w:rFonts w:ascii="Arial" w:hAnsi="Arial" w:cs="Arial"/>
          <w:color w:val="000000" w:themeColor="text1"/>
          <w:sz w:val="20"/>
          <w:szCs w:val="20"/>
          <w:lang w:val="en-GB"/>
        </w:rPr>
        <w:t>R</w:t>
      </w:r>
      <w:r w:rsidRPr="001209DF">
        <w:rPr>
          <w:rFonts w:ascii="Arial" w:hAnsi="Arial" w:cs="Arial"/>
          <w:color w:val="000000" w:themeColor="text1"/>
          <w:sz w:val="20"/>
          <w:szCs w:val="20"/>
          <w:lang w:val="en-GB"/>
        </w:rPr>
        <w:t xml:space="preserve">ights chapter of the </w:t>
      </w:r>
      <w:r w:rsidR="00001F6A">
        <w:rPr>
          <w:rFonts w:ascii="Arial" w:hAnsi="Arial" w:cs="Arial"/>
          <w:color w:val="000000" w:themeColor="text1"/>
          <w:sz w:val="20"/>
          <w:szCs w:val="20"/>
          <w:lang w:val="en-GB"/>
        </w:rPr>
        <w:t>C</w:t>
      </w:r>
      <w:r w:rsidRPr="001209DF">
        <w:rPr>
          <w:rFonts w:ascii="Arial" w:hAnsi="Arial" w:cs="Arial"/>
          <w:color w:val="000000" w:themeColor="text1"/>
          <w:sz w:val="20"/>
          <w:szCs w:val="20"/>
          <w:lang w:val="en-GB"/>
        </w:rPr>
        <w:t xml:space="preserve">onstitution applicable all over the country. The </w:t>
      </w:r>
      <w:r w:rsidR="00001F6A">
        <w:rPr>
          <w:rFonts w:ascii="Arial" w:hAnsi="Arial" w:cs="Arial"/>
          <w:color w:val="000000" w:themeColor="text1"/>
          <w:sz w:val="20"/>
          <w:szCs w:val="20"/>
          <w:lang w:val="en-GB"/>
        </w:rPr>
        <w:t>C</w:t>
      </w:r>
      <w:r w:rsidRPr="001209DF">
        <w:rPr>
          <w:rFonts w:ascii="Arial" w:hAnsi="Arial" w:cs="Arial"/>
          <w:color w:val="000000" w:themeColor="text1"/>
          <w:sz w:val="20"/>
          <w:szCs w:val="20"/>
          <w:lang w:val="en-GB"/>
        </w:rPr>
        <w:t xml:space="preserve">onstitution recognizes the individual citizen as the bearer of rights, as well as the rights of religious associations to manage educational institutions. However, in many of these special status states and autonomous areas, </w:t>
      </w:r>
      <w:r w:rsidRPr="00001F6A">
        <w:rPr>
          <w:rFonts w:ascii="Arial" w:hAnsi="Arial" w:cs="Arial"/>
          <w:b/>
          <w:color w:val="000000" w:themeColor="text1"/>
          <w:sz w:val="20"/>
          <w:szCs w:val="20"/>
          <w:lang w:val="en-GB"/>
        </w:rPr>
        <w:t>the persistence of national security laws in ‘post conflict ‘ situations, continues to undermine the democratic space for rights</w:t>
      </w:r>
      <w:r w:rsidR="00001F6A" w:rsidRPr="00001F6A">
        <w:rPr>
          <w:rFonts w:ascii="Arial" w:hAnsi="Arial" w:cs="Arial"/>
          <w:b/>
          <w:color w:val="000000" w:themeColor="text1"/>
          <w:sz w:val="20"/>
          <w:szCs w:val="20"/>
          <w:lang w:val="en-GB"/>
        </w:rPr>
        <w:t>-</w:t>
      </w:r>
      <w:r w:rsidRPr="00001F6A">
        <w:rPr>
          <w:rFonts w:ascii="Arial" w:hAnsi="Arial" w:cs="Arial"/>
          <w:b/>
          <w:color w:val="000000" w:themeColor="text1"/>
          <w:sz w:val="20"/>
          <w:szCs w:val="20"/>
          <w:lang w:val="en-GB"/>
        </w:rPr>
        <w:t>based NGOs representing civil society</w:t>
      </w:r>
      <w:r w:rsidRPr="001209DF">
        <w:rPr>
          <w:rFonts w:ascii="Arial" w:hAnsi="Arial" w:cs="Arial"/>
          <w:color w:val="000000" w:themeColor="text1"/>
          <w:sz w:val="20"/>
          <w:szCs w:val="20"/>
          <w:lang w:val="en-GB"/>
        </w:rPr>
        <w:t xml:space="preserve">. This is particularly glaring in the special autonomous state of Jammu &amp; Kashmir, Manipur and parts of Assam in the Northeast and the </w:t>
      </w:r>
      <w:proofErr w:type="spellStart"/>
      <w:r w:rsidRPr="001209DF">
        <w:rPr>
          <w:rFonts w:ascii="Arial" w:hAnsi="Arial" w:cs="Arial"/>
          <w:color w:val="000000" w:themeColor="text1"/>
          <w:sz w:val="20"/>
          <w:szCs w:val="20"/>
          <w:lang w:val="en-GB"/>
        </w:rPr>
        <w:t>Naxal</w:t>
      </w:r>
      <w:proofErr w:type="spellEnd"/>
      <w:r w:rsidRPr="001209DF">
        <w:rPr>
          <w:rFonts w:ascii="Arial" w:hAnsi="Arial" w:cs="Arial"/>
          <w:color w:val="000000" w:themeColor="text1"/>
          <w:sz w:val="20"/>
          <w:szCs w:val="20"/>
          <w:lang w:val="en-GB"/>
        </w:rPr>
        <w:t xml:space="preserve"> conflict zone in central India. NGO activists and thousands of human rights defenders have been abducted, charged under anti</w:t>
      </w:r>
      <w:r w:rsidR="00001F6A">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sedition, public security and terrorism laws, incarcerated, tortured and murdered in the ‘zones of exception’ created by national security laws. </w:t>
      </w:r>
    </w:p>
    <w:p w:rsidR="00CB5AAB" w:rsidRPr="001209DF" w:rsidRDefault="00CB5AAB" w:rsidP="00001F6A">
      <w:pPr>
        <w:spacing w:after="0" w:line="240" w:lineRule="auto"/>
        <w:jc w:val="both"/>
        <w:rPr>
          <w:rFonts w:ascii="Arial" w:hAnsi="Arial" w:cs="Arial"/>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shd w:val="clear" w:color="auto" w:fill="FFFFFF"/>
          <w:lang w:val="en-GB"/>
        </w:rPr>
      </w:pPr>
      <w:r w:rsidRPr="001209DF">
        <w:rPr>
          <w:rFonts w:ascii="Arial" w:hAnsi="Arial" w:cs="Arial"/>
          <w:color w:val="000000" w:themeColor="text1"/>
          <w:sz w:val="20"/>
          <w:szCs w:val="20"/>
          <w:lang w:val="en-GB"/>
        </w:rPr>
        <w:t>What is more alarming is that increasingly in recent years the national security state pathology has come to mediate the attitude of state governments and institutions in dealing with ‘inconvenient’ human rights defenders</w:t>
      </w:r>
      <w:r w:rsidRPr="001209DF">
        <w:rPr>
          <w:rFonts w:ascii="Arial" w:hAnsi="Arial" w:cs="Arial"/>
          <w:color w:val="000000" w:themeColor="text1"/>
          <w:sz w:val="20"/>
          <w:szCs w:val="20"/>
          <w:shd w:val="clear" w:color="auto" w:fill="FCFCFC"/>
          <w:lang w:val="en-GB"/>
        </w:rPr>
        <w:t>, NGO activists, media practitioners, political cart</w:t>
      </w:r>
      <w:r w:rsidR="00001F6A">
        <w:rPr>
          <w:rFonts w:ascii="Arial" w:hAnsi="Arial" w:cs="Arial"/>
          <w:color w:val="000000" w:themeColor="text1"/>
          <w:sz w:val="20"/>
          <w:szCs w:val="20"/>
          <w:shd w:val="clear" w:color="auto" w:fill="FCFCFC"/>
          <w:lang w:val="en-GB"/>
        </w:rPr>
        <w:t>o</w:t>
      </w:r>
      <w:r w:rsidRPr="001209DF">
        <w:rPr>
          <w:rFonts w:ascii="Arial" w:hAnsi="Arial" w:cs="Arial"/>
          <w:color w:val="000000" w:themeColor="text1"/>
          <w:sz w:val="20"/>
          <w:szCs w:val="20"/>
          <w:shd w:val="clear" w:color="auto" w:fill="FCFCFC"/>
          <w:lang w:val="en-GB"/>
        </w:rPr>
        <w:t>onists and anyone who dares express dissent.</w:t>
      </w:r>
      <w:r w:rsidRPr="001209DF">
        <w:rPr>
          <w:rFonts w:ascii="Arial" w:hAnsi="Arial" w:cs="Arial"/>
          <w:color w:val="000000" w:themeColor="text1"/>
          <w:sz w:val="20"/>
          <w:szCs w:val="20"/>
          <w:lang w:val="en-GB"/>
        </w:rPr>
        <w:t xml:space="preserve"> In particular Sedition laws have been used widely to suppress fundamental freedoms. Well</w:t>
      </w:r>
      <w:r w:rsidR="00001F6A">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known rights a</w:t>
      </w:r>
      <w:r w:rsidRPr="001209DF">
        <w:rPr>
          <w:rFonts w:ascii="Arial" w:hAnsi="Arial" w:cs="Arial"/>
          <w:color w:val="000000" w:themeColor="text1"/>
          <w:sz w:val="20"/>
          <w:szCs w:val="20"/>
          <w:shd w:val="clear" w:color="auto" w:fill="FFFFFF"/>
          <w:lang w:val="en-GB"/>
        </w:rPr>
        <w:t xml:space="preserve">ctivists like Dr </w:t>
      </w:r>
      <w:proofErr w:type="spellStart"/>
      <w:r w:rsidRPr="001209DF">
        <w:rPr>
          <w:rFonts w:ascii="Arial" w:hAnsi="Arial" w:cs="Arial"/>
          <w:color w:val="000000" w:themeColor="text1"/>
          <w:sz w:val="20"/>
          <w:szCs w:val="20"/>
          <w:shd w:val="clear" w:color="auto" w:fill="FFFFFF"/>
          <w:lang w:val="en-GB"/>
        </w:rPr>
        <w:t>Binayak</w:t>
      </w:r>
      <w:proofErr w:type="spellEnd"/>
      <w:r w:rsidRPr="001209DF">
        <w:rPr>
          <w:rFonts w:ascii="Arial" w:hAnsi="Arial" w:cs="Arial"/>
          <w:color w:val="000000" w:themeColor="text1"/>
          <w:sz w:val="20"/>
          <w:szCs w:val="20"/>
          <w:shd w:val="clear" w:color="auto" w:fill="FFFFFF"/>
          <w:lang w:val="en-GB"/>
        </w:rPr>
        <w:t xml:space="preserve"> </w:t>
      </w:r>
      <w:proofErr w:type="spellStart"/>
      <w:r w:rsidRPr="001209DF">
        <w:rPr>
          <w:rFonts w:ascii="Arial" w:hAnsi="Arial" w:cs="Arial"/>
          <w:color w:val="000000" w:themeColor="text1"/>
          <w:sz w:val="20"/>
          <w:szCs w:val="20"/>
          <w:shd w:val="clear" w:color="auto" w:fill="FFFFFF"/>
          <w:lang w:val="en-GB"/>
        </w:rPr>
        <w:t>Sen</w:t>
      </w:r>
      <w:proofErr w:type="spellEnd"/>
      <w:r w:rsidRPr="001209DF">
        <w:rPr>
          <w:rFonts w:ascii="Arial" w:hAnsi="Arial" w:cs="Arial"/>
          <w:color w:val="000000" w:themeColor="text1"/>
          <w:sz w:val="20"/>
          <w:szCs w:val="20"/>
          <w:shd w:val="clear" w:color="auto" w:fill="FFFFFF"/>
          <w:lang w:val="en-GB"/>
        </w:rPr>
        <w:t xml:space="preserve"> have been put under trial under the charges of sedition, S.P. </w:t>
      </w:r>
      <w:proofErr w:type="spellStart"/>
      <w:r w:rsidRPr="001209DF">
        <w:rPr>
          <w:rFonts w:ascii="Arial" w:hAnsi="Arial" w:cs="Arial"/>
          <w:color w:val="000000" w:themeColor="text1"/>
          <w:sz w:val="20"/>
          <w:szCs w:val="20"/>
          <w:shd w:val="clear" w:color="auto" w:fill="FFFFFF"/>
          <w:lang w:val="en-GB"/>
        </w:rPr>
        <w:t>Udayakumar</w:t>
      </w:r>
      <w:proofErr w:type="spellEnd"/>
      <w:r w:rsidRPr="001209DF">
        <w:rPr>
          <w:rFonts w:ascii="Arial" w:hAnsi="Arial" w:cs="Arial"/>
          <w:color w:val="000000" w:themeColor="text1"/>
          <w:sz w:val="20"/>
          <w:szCs w:val="20"/>
          <w:shd w:val="clear" w:color="auto" w:fill="FFFFFF"/>
          <w:lang w:val="en-GB"/>
        </w:rPr>
        <w:t>, convener of People’s Movement Against Nuclear Energy (PMANE) was prevented from travel</w:t>
      </w:r>
      <w:r w:rsidR="00001F6A">
        <w:rPr>
          <w:rFonts w:ascii="Arial" w:hAnsi="Arial" w:cs="Arial"/>
          <w:color w:val="000000" w:themeColor="text1"/>
          <w:sz w:val="20"/>
          <w:szCs w:val="20"/>
          <w:shd w:val="clear" w:color="auto" w:fill="FFFFFF"/>
          <w:lang w:val="en-GB"/>
        </w:rPr>
        <w:t>l</w:t>
      </w:r>
      <w:r w:rsidRPr="001209DF">
        <w:rPr>
          <w:rFonts w:ascii="Arial" w:hAnsi="Arial" w:cs="Arial"/>
          <w:color w:val="000000" w:themeColor="text1"/>
          <w:sz w:val="20"/>
          <w:szCs w:val="20"/>
          <w:shd w:val="clear" w:color="auto" w:fill="FFFFFF"/>
          <w:lang w:val="en-GB"/>
        </w:rPr>
        <w:t xml:space="preserve">ing out of the country because of sedition cases filed against him for leading protests at the </w:t>
      </w:r>
      <w:proofErr w:type="spellStart"/>
      <w:r w:rsidRPr="001209DF">
        <w:rPr>
          <w:rFonts w:ascii="Arial" w:hAnsi="Arial" w:cs="Arial"/>
          <w:color w:val="000000" w:themeColor="text1"/>
          <w:sz w:val="20"/>
          <w:szCs w:val="20"/>
          <w:shd w:val="clear" w:color="auto" w:fill="FFFFFF"/>
          <w:lang w:val="en-GB"/>
        </w:rPr>
        <w:t>Kudankulam</w:t>
      </w:r>
      <w:proofErr w:type="spellEnd"/>
      <w:r w:rsidRPr="001209DF">
        <w:rPr>
          <w:rFonts w:ascii="Arial" w:hAnsi="Arial" w:cs="Arial"/>
          <w:color w:val="000000" w:themeColor="text1"/>
          <w:sz w:val="20"/>
          <w:szCs w:val="20"/>
          <w:shd w:val="clear" w:color="auto" w:fill="FFFFFF"/>
          <w:lang w:val="en-GB"/>
        </w:rPr>
        <w:t xml:space="preserve"> nuclear power plant in Tamil Nadu. According to Human Rights Watch</w:t>
      </w:r>
      <w:r w:rsidR="00001F6A">
        <w:rPr>
          <w:rFonts w:ascii="Arial" w:hAnsi="Arial" w:cs="Arial"/>
          <w:color w:val="000000" w:themeColor="text1"/>
          <w:sz w:val="20"/>
          <w:szCs w:val="20"/>
          <w:shd w:val="clear" w:color="auto" w:fill="FFFFFF"/>
          <w:lang w:val="en-GB"/>
        </w:rPr>
        <w:t>,</w:t>
      </w:r>
      <w:r w:rsidRPr="001209DF">
        <w:rPr>
          <w:rFonts w:ascii="Arial" w:hAnsi="Arial" w:cs="Arial"/>
          <w:color w:val="000000" w:themeColor="text1"/>
          <w:sz w:val="20"/>
          <w:szCs w:val="20"/>
          <w:shd w:val="clear" w:color="auto" w:fill="FFFFFF"/>
          <w:lang w:val="en-GB"/>
        </w:rPr>
        <w:t xml:space="preserve"> the Tamil Nadu authorities have accused over 50,000 people of </w:t>
      </w:r>
      <w:r w:rsidR="00001F6A">
        <w:rPr>
          <w:rFonts w:ascii="Arial" w:hAnsi="Arial" w:cs="Arial"/>
          <w:color w:val="000000" w:themeColor="text1"/>
          <w:sz w:val="20"/>
          <w:szCs w:val="20"/>
          <w:shd w:val="clear" w:color="auto" w:fill="FFFFFF"/>
          <w:lang w:val="en-GB"/>
        </w:rPr>
        <w:t>“</w:t>
      </w:r>
      <w:r w:rsidRPr="001209DF">
        <w:rPr>
          <w:rFonts w:ascii="Arial" w:hAnsi="Arial" w:cs="Arial"/>
          <w:color w:val="000000" w:themeColor="text1"/>
          <w:sz w:val="20"/>
          <w:szCs w:val="20"/>
          <w:shd w:val="clear" w:color="auto" w:fill="FFFFFF"/>
          <w:lang w:val="en-GB"/>
        </w:rPr>
        <w:t>sedition, waging or abetting war against the state, disrupting harmony, insulting national hono</w:t>
      </w:r>
      <w:r w:rsidR="00001F6A">
        <w:rPr>
          <w:rFonts w:ascii="Arial" w:hAnsi="Arial" w:cs="Arial"/>
          <w:color w:val="000000" w:themeColor="text1"/>
          <w:sz w:val="20"/>
          <w:szCs w:val="20"/>
          <w:shd w:val="clear" w:color="auto" w:fill="FFFFFF"/>
          <w:lang w:val="en-GB"/>
        </w:rPr>
        <w:t>u</w:t>
      </w:r>
      <w:r w:rsidRPr="001209DF">
        <w:rPr>
          <w:rFonts w:ascii="Arial" w:hAnsi="Arial" w:cs="Arial"/>
          <w:color w:val="000000" w:themeColor="text1"/>
          <w:sz w:val="20"/>
          <w:szCs w:val="20"/>
          <w:shd w:val="clear" w:color="auto" w:fill="FFFFFF"/>
          <w:lang w:val="en-GB"/>
        </w:rPr>
        <w:t>r, criminal trespass, and unlawful assembly.”</w:t>
      </w:r>
      <w:r w:rsidR="00001F6A" w:rsidRPr="00001F6A">
        <w:rPr>
          <w:rStyle w:val="FootnoteReference"/>
          <w:rFonts w:ascii="Arial" w:hAnsi="Arial" w:cs="Arial"/>
          <w:color w:val="000000" w:themeColor="text1"/>
          <w:sz w:val="20"/>
          <w:szCs w:val="20"/>
          <w:shd w:val="clear" w:color="auto" w:fill="FFFFFF"/>
          <w:lang w:val="en-GB"/>
        </w:rPr>
        <w:t xml:space="preserve"> </w:t>
      </w:r>
      <w:r w:rsidR="00001F6A" w:rsidRPr="001209DF">
        <w:rPr>
          <w:rStyle w:val="FootnoteReference"/>
          <w:rFonts w:ascii="Arial" w:hAnsi="Arial" w:cs="Arial"/>
          <w:color w:val="000000" w:themeColor="text1"/>
          <w:sz w:val="20"/>
          <w:szCs w:val="20"/>
          <w:shd w:val="clear" w:color="auto" w:fill="FFFFFF"/>
          <w:lang w:val="en-GB"/>
        </w:rPr>
        <w:footnoteReference w:id="30"/>
      </w:r>
      <w:r w:rsidRPr="001209DF">
        <w:rPr>
          <w:rFonts w:ascii="Arial" w:hAnsi="Arial" w:cs="Arial"/>
          <w:color w:val="000000" w:themeColor="text1"/>
          <w:sz w:val="20"/>
          <w:szCs w:val="20"/>
          <w:shd w:val="clear" w:color="auto" w:fill="FFFFFF"/>
          <w:lang w:val="en-GB"/>
        </w:rPr>
        <w:t xml:space="preserve"> </w:t>
      </w:r>
      <w:r w:rsidRPr="001209DF">
        <w:rPr>
          <w:rFonts w:ascii="Arial" w:hAnsi="Arial" w:cs="Arial"/>
          <w:color w:val="000000" w:themeColor="text1"/>
          <w:sz w:val="20"/>
          <w:szCs w:val="20"/>
          <w:lang w:val="en-GB"/>
        </w:rPr>
        <w:t>Under the Narendra Modi</w:t>
      </w:r>
      <w:r w:rsidR="00001F6A">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led government </w:t>
      </w:r>
      <w:r w:rsidRPr="002D4572">
        <w:rPr>
          <w:rFonts w:ascii="Arial" w:hAnsi="Arial" w:cs="Arial"/>
          <w:b/>
          <w:color w:val="000000" w:themeColor="text1"/>
          <w:sz w:val="20"/>
          <w:szCs w:val="20"/>
          <w:lang w:val="en-GB"/>
        </w:rPr>
        <w:t>the crackdown on rights</w:t>
      </w:r>
      <w:r w:rsidR="00001F6A" w:rsidRPr="002D4572">
        <w:rPr>
          <w:rFonts w:ascii="Arial" w:hAnsi="Arial" w:cs="Arial"/>
          <w:b/>
          <w:color w:val="000000" w:themeColor="text1"/>
          <w:sz w:val="20"/>
          <w:szCs w:val="20"/>
          <w:lang w:val="en-GB"/>
        </w:rPr>
        <w:t>-</w:t>
      </w:r>
      <w:r w:rsidRPr="002D4572">
        <w:rPr>
          <w:rFonts w:ascii="Arial" w:hAnsi="Arial" w:cs="Arial"/>
          <w:b/>
          <w:color w:val="000000" w:themeColor="text1"/>
          <w:sz w:val="20"/>
          <w:szCs w:val="20"/>
          <w:lang w:val="en-GB"/>
        </w:rPr>
        <w:t>based and especially foreign</w:t>
      </w:r>
      <w:r w:rsidR="00001F6A" w:rsidRPr="002D4572">
        <w:rPr>
          <w:rFonts w:ascii="Arial" w:hAnsi="Arial" w:cs="Arial"/>
          <w:b/>
          <w:color w:val="000000" w:themeColor="text1"/>
          <w:sz w:val="20"/>
          <w:szCs w:val="20"/>
          <w:lang w:val="en-GB"/>
        </w:rPr>
        <w:t>-</w:t>
      </w:r>
      <w:r w:rsidRPr="002D4572">
        <w:rPr>
          <w:rFonts w:ascii="Arial" w:hAnsi="Arial" w:cs="Arial"/>
          <w:b/>
          <w:color w:val="000000" w:themeColor="text1"/>
          <w:sz w:val="20"/>
          <w:szCs w:val="20"/>
          <w:lang w:val="en-GB"/>
        </w:rPr>
        <w:t>funded NGOs has intensified</w:t>
      </w:r>
      <w:r w:rsidRPr="001209DF">
        <w:rPr>
          <w:rFonts w:ascii="Arial" w:hAnsi="Arial" w:cs="Arial"/>
          <w:color w:val="000000" w:themeColor="text1"/>
          <w:sz w:val="20"/>
          <w:szCs w:val="20"/>
          <w:lang w:val="en-GB"/>
        </w:rPr>
        <w:t xml:space="preserve">, the tone being set by a leaked Intelligence Bureau Report (June 2014) which alleged that several foreign-funded NGOs were stalling India’s economic growth by their obstructionist activism. In particular Christian NGOs have been targeted for </w:t>
      </w:r>
      <w:r w:rsidR="00001F6A">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en</w:t>
      </w:r>
      <w:r w:rsidRPr="001209DF">
        <w:rPr>
          <w:rFonts w:ascii="Arial" w:eastAsia="Times New Roman" w:hAnsi="Arial" w:cs="Arial"/>
          <w:bCs/>
          <w:color w:val="000000" w:themeColor="text1"/>
          <w:sz w:val="20"/>
          <w:szCs w:val="20"/>
          <w:lang w:val="en-GB"/>
        </w:rPr>
        <w:t xml:space="preserve">dangering </w:t>
      </w:r>
      <w:r w:rsidR="00001F6A">
        <w:rPr>
          <w:rFonts w:ascii="Arial" w:eastAsia="Times New Roman" w:hAnsi="Arial" w:cs="Arial"/>
          <w:bCs/>
          <w:color w:val="000000" w:themeColor="text1"/>
          <w:sz w:val="20"/>
          <w:szCs w:val="20"/>
          <w:lang w:val="en-GB"/>
        </w:rPr>
        <w:t xml:space="preserve">the </w:t>
      </w:r>
      <w:r w:rsidRPr="001209DF">
        <w:rPr>
          <w:rFonts w:ascii="Arial" w:eastAsia="Times New Roman" w:hAnsi="Arial" w:cs="Arial"/>
          <w:bCs/>
          <w:color w:val="000000" w:themeColor="text1"/>
          <w:sz w:val="20"/>
          <w:szCs w:val="20"/>
          <w:lang w:val="en-GB"/>
        </w:rPr>
        <w:t xml:space="preserve">geopolitical security of India and proselytizing under the guise of </w:t>
      </w:r>
      <w:r w:rsidR="00001F6A">
        <w:rPr>
          <w:rFonts w:ascii="Arial" w:eastAsia="Times New Roman" w:hAnsi="Arial" w:cs="Arial"/>
          <w:bCs/>
          <w:color w:val="000000" w:themeColor="text1"/>
          <w:sz w:val="20"/>
          <w:szCs w:val="20"/>
          <w:lang w:val="en-GB"/>
        </w:rPr>
        <w:t>d</w:t>
      </w:r>
      <w:r w:rsidRPr="001209DF">
        <w:rPr>
          <w:rFonts w:ascii="Arial" w:eastAsia="Times New Roman" w:hAnsi="Arial" w:cs="Arial"/>
          <w:bCs/>
          <w:color w:val="000000" w:themeColor="text1"/>
          <w:sz w:val="20"/>
          <w:szCs w:val="20"/>
          <w:lang w:val="en-GB"/>
        </w:rPr>
        <w:t>evelopment</w:t>
      </w:r>
      <w:r w:rsidR="00001F6A">
        <w:rPr>
          <w:rFonts w:ascii="Arial" w:eastAsia="Times New Roman" w:hAnsi="Arial" w:cs="Arial"/>
          <w:bCs/>
          <w:color w:val="000000" w:themeColor="text1"/>
          <w:sz w:val="20"/>
          <w:szCs w:val="20"/>
          <w:lang w:val="en-GB"/>
        </w:rPr>
        <w:t>.</w:t>
      </w:r>
      <w:r w:rsidRPr="001209DF">
        <w:rPr>
          <w:rFonts w:ascii="Arial" w:eastAsia="Times New Roman" w:hAnsi="Arial" w:cs="Arial"/>
          <w:bCs/>
          <w:color w:val="000000" w:themeColor="text1"/>
          <w:sz w:val="20"/>
          <w:szCs w:val="20"/>
          <w:lang w:val="en-GB"/>
        </w:rPr>
        <w:t>”</w:t>
      </w:r>
      <w:r w:rsidRPr="001209DF">
        <w:rPr>
          <w:rFonts w:ascii="Arial" w:eastAsia="Times New Roman" w:hAnsi="Arial" w:cs="Arial"/>
          <w:b/>
          <w:bCs/>
          <w:color w:val="000000" w:themeColor="text1"/>
          <w:sz w:val="20"/>
          <w:szCs w:val="20"/>
          <w:lang w:val="en-GB"/>
        </w:rPr>
        <w:t xml:space="preserve"> </w:t>
      </w:r>
      <w:r w:rsidRPr="001209DF">
        <w:rPr>
          <w:rFonts w:ascii="Arial" w:eastAsia="Times New Roman" w:hAnsi="Arial" w:cs="Arial"/>
          <w:bCs/>
          <w:color w:val="000000" w:themeColor="text1"/>
          <w:sz w:val="20"/>
          <w:szCs w:val="20"/>
          <w:lang w:val="en-GB"/>
        </w:rPr>
        <w:t>The</w:t>
      </w:r>
      <w:r w:rsidRPr="001209DF">
        <w:rPr>
          <w:rFonts w:ascii="Arial" w:eastAsia="Times New Roman" w:hAnsi="Arial" w:cs="Arial"/>
          <w:b/>
          <w:bCs/>
          <w:color w:val="000000" w:themeColor="text1"/>
          <w:sz w:val="20"/>
          <w:szCs w:val="20"/>
          <w:lang w:val="en-GB"/>
        </w:rPr>
        <w:t xml:space="preserve"> </w:t>
      </w:r>
      <w:r w:rsidRPr="001209DF">
        <w:rPr>
          <w:rFonts w:ascii="Arial" w:eastAsia="Times New Roman" w:hAnsi="Arial" w:cs="Arial"/>
          <w:bCs/>
          <w:color w:val="000000" w:themeColor="text1"/>
          <w:sz w:val="20"/>
          <w:szCs w:val="20"/>
          <w:lang w:val="en-GB"/>
        </w:rPr>
        <w:t>Ministry of Home Affairs</w:t>
      </w:r>
      <w:r w:rsidRPr="001209DF">
        <w:rPr>
          <w:rFonts w:ascii="Arial" w:hAnsi="Arial" w:cs="Arial"/>
          <w:color w:val="000000" w:themeColor="text1"/>
          <w:sz w:val="20"/>
          <w:szCs w:val="20"/>
          <w:lang w:val="en-GB"/>
        </w:rPr>
        <w:t xml:space="preserve"> </w:t>
      </w:r>
      <w:r w:rsidR="002D4572">
        <w:rPr>
          <w:rFonts w:ascii="Arial" w:hAnsi="Arial" w:cs="Arial"/>
          <w:color w:val="000000" w:themeColor="text1"/>
          <w:sz w:val="20"/>
          <w:szCs w:val="20"/>
          <w:lang w:val="en-GB"/>
        </w:rPr>
        <w:t xml:space="preserve">(MHA) </w:t>
      </w:r>
      <w:r w:rsidRPr="001209DF">
        <w:rPr>
          <w:rFonts w:ascii="Arial" w:hAnsi="Arial" w:cs="Arial"/>
          <w:color w:val="000000" w:themeColor="text1"/>
          <w:sz w:val="20"/>
          <w:szCs w:val="20"/>
          <w:lang w:val="en-GB"/>
        </w:rPr>
        <w:t xml:space="preserve">has taken against 16 foreign donors </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by putting them on the MHA pre-approval list</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for funding campaigns prejudicial to national security.” The list includes Ford Foundation for reasons of </w:t>
      </w:r>
      <w:r w:rsidRPr="001209DF">
        <w:rPr>
          <w:rFonts w:ascii="Arial" w:hAnsi="Arial" w:cs="Arial"/>
          <w:color w:val="000000" w:themeColor="text1"/>
          <w:sz w:val="20"/>
          <w:szCs w:val="20"/>
          <w:shd w:val="clear" w:color="auto" w:fill="FFFFFF"/>
          <w:lang w:val="en-GB"/>
        </w:rPr>
        <w:t>"national interest and security"</w:t>
      </w:r>
      <w:r w:rsidRPr="001209DF">
        <w:rPr>
          <w:rFonts w:ascii="Arial" w:hAnsi="Arial" w:cs="Arial"/>
          <w:color w:val="000000" w:themeColor="text1"/>
          <w:sz w:val="20"/>
          <w:szCs w:val="20"/>
          <w:lang w:val="en-GB"/>
        </w:rPr>
        <w:t xml:space="preserve">. Rules and </w:t>
      </w:r>
      <w:r w:rsidR="002D4572">
        <w:rPr>
          <w:rFonts w:ascii="Arial" w:hAnsi="Arial" w:cs="Arial"/>
          <w:color w:val="000000" w:themeColor="text1"/>
          <w:sz w:val="20"/>
          <w:szCs w:val="20"/>
          <w:lang w:val="en-GB"/>
        </w:rPr>
        <w:t>r</w:t>
      </w:r>
      <w:r w:rsidRPr="001209DF">
        <w:rPr>
          <w:rFonts w:ascii="Arial" w:hAnsi="Arial" w:cs="Arial"/>
          <w:color w:val="000000" w:themeColor="text1"/>
          <w:sz w:val="20"/>
          <w:szCs w:val="20"/>
          <w:lang w:val="en-GB"/>
        </w:rPr>
        <w:t>egulations under the Foreign Contribution Regulations Act (FCRA) have been tightened and foreign</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funded NGOs are under a hostile scanner. FCRA registration of nearly 9</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000 NGOs (including Greenpeace) has been cancelled. The majority were faulted for not submitting mandatory annual returns. [</w:t>
      </w:r>
      <w:r w:rsidRPr="001209DF">
        <w:rPr>
          <w:rFonts w:ascii="Arial" w:hAnsi="Arial" w:cs="Arial"/>
          <w:color w:val="000000" w:themeColor="text1"/>
          <w:sz w:val="20"/>
          <w:szCs w:val="20"/>
          <w:shd w:val="clear" w:color="auto" w:fill="FFFFFF"/>
          <w:lang w:val="en-GB"/>
        </w:rPr>
        <w:t>None of the NGOs in Assam, Manipur, Meghalaya, Nagaland and Tripura file returns]</w:t>
      </w:r>
      <w:r w:rsidRPr="001209DF">
        <w:rPr>
          <w:rStyle w:val="FootnoteReference"/>
          <w:rFonts w:ascii="Arial" w:hAnsi="Arial" w:cs="Arial"/>
          <w:color w:val="000000" w:themeColor="text1"/>
          <w:sz w:val="20"/>
          <w:szCs w:val="20"/>
          <w:shd w:val="clear" w:color="auto" w:fill="FFFFFF"/>
          <w:lang w:val="en-GB"/>
        </w:rPr>
        <w:footnoteReference w:id="31"/>
      </w:r>
      <w:r w:rsidRPr="001209DF">
        <w:rPr>
          <w:rFonts w:ascii="Arial" w:hAnsi="Arial" w:cs="Arial"/>
          <w:color w:val="000000" w:themeColor="text1"/>
          <w:sz w:val="20"/>
          <w:szCs w:val="20"/>
          <w:shd w:val="clear" w:color="auto" w:fill="FFFFFF"/>
          <w:lang w:val="en-GB"/>
        </w:rPr>
        <w:t xml:space="preserve">. </w:t>
      </w:r>
    </w:p>
    <w:p w:rsidR="00CB5AAB" w:rsidRPr="001209DF" w:rsidRDefault="00CB5AAB" w:rsidP="00001F6A">
      <w:pPr>
        <w:spacing w:after="0" w:line="240" w:lineRule="auto"/>
        <w:jc w:val="both"/>
        <w:rPr>
          <w:rFonts w:ascii="Arial" w:hAnsi="Arial" w:cs="Arial"/>
          <w:color w:val="000000" w:themeColor="text1"/>
          <w:sz w:val="20"/>
          <w:szCs w:val="20"/>
          <w:shd w:val="clear" w:color="auto" w:fill="FFFFFF"/>
          <w:lang w:val="en-GB"/>
        </w:rPr>
      </w:pPr>
    </w:p>
    <w:p w:rsidR="00CB5AAB" w:rsidRPr="001209DF" w:rsidRDefault="00CB5AAB" w:rsidP="00001F6A">
      <w:pPr>
        <w:pStyle w:val="body"/>
        <w:shd w:val="clear" w:color="auto" w:fill="FFFFFF"/>
        <w:spacing w:before="0" w:beforeAutospacing="0" w:after="0" w:afterAutospacing="0"/>
        <w:jc w:val="both"/>
        <w:rPr>
          <w:rFonts w:ascii="Arial" w:hAnsi="Arial" w:cs="Arial"/>
          <w:color w:val="000000" w:themeColor="text1"/>
          <w:sz w:val="20"/>
          <w:szCs w:val="20"/>
          <w:shd w:val="clear" w:color="auto" w:fill="FFFFFF"/>
          <w:lang w:val="en-GB"/>
        </w:rPr>
      </w:pPr>
      <w:r w:rsidRPr="001209DF">
        <w:rPr>
          <w:rFonts w:ascii="Arial" w:hAnsi="Arial" w:cs="Arial"/>
          <w:color w:val="000000" w:themeColor="text1"/>
          <w:sz w:val="20"/>
          <w:szCs w:val="20"/>
          <w:lang w:val="en-GB"/>
        </w:rPr>
        <w:t xml:space="preserve">According to government records, there are about </w:t>
      </w:r>
      <w:r w:rsidRPr="002D4572">
        <w:rPr>
          <w:rFonts w:ascii="Arial" w:hAnsi="Arial" w:cs="Arial"/>
          <w:b/>
          <w:color w:val="000000" w:themeColor="text1"/>
          <w:sz w:val="20"/>
          <w:szCs w:val="20"/>
          <w:lang w:val="en-GB"/>
        </w:rPr>
        <w:t>three million NGOs registered across the country</w:t>
      </w:r>
      <w:r w:rsidRPr="001209DF">
        <w:rPr>
          <w:rFonts w:ascii="Arial" w:hAnsi="Arial" w:cs="Arial"/>
          <w:color w:val="000000" w:themeColor="text1"/>
          <w:sz w:val="20"/>
          <w:szCs w:val="20"/>
          <w:lang w:val="en-GB"/>
        </w:rPr>
        <w:t xml:space="preserve">, and a total of </w:t>
      </w:r>
      <w:r w:rsidRPr="002D4572">
        <w:rPr>
          <w:rFonts w:ascii="Arial" w:hAnsi="Arial" w:cs="Arial"/>
          <w:b/>
          <w:color w:val="000000" w:themeColor="text1"/>
          <w:sz w:val="20"/>
          <w:szCs w:val="20"/>
          <w:lang w:val="en-GB"/>
        </w:rPr>
        <w:t>45,000 organisations registered under the FCRA</w:t>
      </w:r>
      <w:r w:rsidRPr="001209DF">
        <w:rPr>
          <w:rFonts w:ascii="Arial" w:hAnsi="Arial" w:cs="Arial"/>
          <w:color w:val="000000" w:themeColor="text1"/>
          <w:sz w:val="20"/>
          <w:szCs w:val="20"/>
          <w:lang w:val="en-GB"/>
        </w:rPr>
        <w:t>. NGOs can be registered under Indian Societies Registration Act, 1860, Religious Endowments Act</w:t>
      </w:r>
      <w:proofErr w:type="gramStart"/>
      <w:r w:rsidRPr="001209DF">
        <w:rPr>
          <w:rFonts w:ascii="Arial" w:hAnsi="Arial" w:cs="Arial"/>
          <w:color w:val="000000" w:themeColor="text1"/>
          <w:sz w:val="20"/>
          <w:szCs w:val="20"/>
          <w:lang w:val="en-GB"/>
        </w:rPr>
        <w:t>,1863</w:t>
      </w:r>
      <w:proofErr w:type="gramEnd"/>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and Indian Trusts Act. </w:t>
      </w:r>
      <w:r w:rsidRPr="002D4572">
        <w:rPr>
          <w:rFonts w:ascii="Arial" w:hAnsi="Arial" w:cs="Arial"/>
          <w:b/>
          <w:color w:val="000000" w:themeColor="text1"/>
          <w:sz w:val="20"/>
          <w:szCs w:val="20"/>
          <w:shd w:val="clear" w:color="auto" w:fill="FFFFFF"/>
          <w:lang w:val="en-GB"/>
        </w:rPr>
        <w:t>Non-profit organisations in India must not engage in political activities</w:t>
      </w:r>
      <w:r w:rsidRPr="001209DF">
        <w:rPr>
          <w:rFonts w:ascii="Arial" w:hAnsi="Arial" w:cs="Arial"/>
          <w:color w:val="000000" w:themeColor="text1"/>
          <w:sz w:val="20"/>
          <w:szCs w:val="20"/>
          <w:shd w:val="clear" w:color="auto" w:fill="FFFFFF"/>
          <w:lang w:val="en-GB"/>
        </w:rPr>
        <w:t xml:space="preserve">. Under the Foreign Contributions Regulation Act, not-for-profit organizations involved in political activities cannot receive foreign contributions. In contention is what constitutes ‘political activity’. Welfare and service delivery NGOs are welcome, while a </w:t>
      </w:r>
      <w:proofErr w:type="spellStart"/>
      <w:r w:rsidRPr="001209DF">
        <w:rPr>
          <w:rFonts w:ascii="Arial" w:hAnsi="Arial" w:cs="Arial"/>
          <w:color w:val="000000" w:themeColor="text1"/>
          <w:sz w:val="20"/>
          <w:szCs w:val="20"/>
          <w:shd w:val="clear" w:color="auto" w:fill="FFFFFF"/>
          <w:lang w:val="en-GB"/>
        </w:rPr>
        <w:t>witchhunt</w:t>
      </w:r>
      <w:proofErr w:type="spellEnd"/>
      <w:r w:rsidRPr="001209DF">
        <w:rPr>
          <w:rFonts w:ascii="Arial" w:hAnsi="Arial" w:cs="Arial"/>
          <w:color w:val="000000" w:themeColor="text1"/>
          <w:sz w:val="20"/>
          <w:szCs w:val="20"/>
          <w:shd w:val="clear" w:color="auto" w:fill="FFFFFF"/>
          <w:lang w:val="en-GB"/>
        </w:rPr>
        <w:t xml:space="preserve"> has been unleashed against NGOs and human rights defenders who campaigned for justice in the communal carnage in Modi’s state of Gujarat. </w:t>
      </w:r>
    </w:p>
    <w:p w:rsidR="00CB5AAB" w:rsidRDefault="00CB5AAB" w:rsidP="00001F6A">
      <w:pPr>
        <w:pStyle w:val="body"/>
        <w:shd w:val="clear" w:color="auto" w:fill="FFFFFF"/>
        <w:spacing w:before="0" w:beforeAutospacing="0" w:after="0" w:afterAutospacing="0"/>
        <w:jc w:val="both"/>
        <w:rPr>
          <w:rFonts w:ascii="Arial" w:hAnsi="Arial" w:cs="Arial"/>
          <w:color w:val="000000" w:themeColor="text1"/>
          <w:sz w:val="20"/>
          <w:szCs w:val="20"/>
          <w:shd w:val="clear" w:color="auto" w:fill="FFFFFF"/>
          <w:lang w:val="en-GB"/>
        </w:rPr>
      </w:pPr>
    </w:p>
    <w:p w:rsidR="004567D1" w:rsidRPr="00AC41F3" w:rsidRDefault="00FC550C">
      <w:pPr>
        <w:autoSpaceDE w:val="0"/>
        <w:autoSpaceDN w:val="0"/>
        <w:adjustRightInd w:val="0"/>
        <w:spacing w:after="0" w:line="240" w:lineRule="auto"/>
        <w:jc w:val="both"/>
        <w:rPr>
          <w:rFonts w:ascii="Arial" w:hAnsi="Arial" w:cs="Arial"/>
          <w:color w:val="FF0000"/>
          <w:sz w:val="20"/>
          <w:szCs w:val="20"/>
          <w:shd w:val="clear" w:color="auto" w:fill="FFFFFF"/>
          <w:lang w:val="en-GB"/>
        </w:rPr>
      </w:pPr>
      <w:r w:rsidRPr="00AC41F3">
        <w:rPr>
          <w:rFonts w:ascii="Arial" w:hAnsi="Arial" w:cs="Arial"/>
          <w:color w:val="FF0000"/>
          <w:sz w:val="20"/>
          <w:szCs w:val="20"/>
          <w:shd w:val="clear" w:color="auto" w:fill="FFFFFF"/>
          <w:lang w:val="en-GB"/>
        </w:rPr>
        <w:t xml:space="preserve">In Morocco, </w:t>
      </w:r>
      <w:r w:rsidR="004567D1" w:rsidRPr="00AC41F3">
        <w:rPr>
          <w:rFonts w:ascii="Arial" w:hAnsi="Arial" w:cs="Arial"/>
          <w:color w:val="FF0000"/>
          <w:sz w:val="20"/>
          <w:szCs w:val="20"/>
          <w:shd w:val="clear" w:color="auto" w:fill="FFFFFF"/>
          <w:lang w:val="en-GB"/>
        </w:rPr>
        <w:t xml:space="preserve">the substantial reforms made in the last decade </w:t>
      </w:r>
      <w:r w:rsidR="0012608D">
        <w:rPr>
          <w:rFonts w:ascii="Arial" w:hAnsi="Arial" w:cs="Arial"/>
          <w:color w:val="FF0000"/>
          <w:sz w:val="20"/>
          <w:szCs w:val="20"/>
          <w:shd w:val="clear" w:color="auto" w:fill="FFFFFF"/>
          <w:lang w:val="en-GB"/>
        </w:rPr>
        <w:t xml:space="preserve">provide for enlarging the </w:t>
      </w:r>
      <w:r w:rsidR="004567D1" w:rsidRPr="00AC41F3">
        <w:rPr>
          <w:rFonts w:ascii="Arial" w:hAnsi="Arial" w:cs="Arial"/>
          <w:color w:val="FF0000"/>
          <w:sz w:val="20"/>
          <w:szCs w:val="20"/>
          <w:shd w:val="clear" w:color="auto" w:fill="FFFFFF"/>
          <w:lang w:val="en-GB"/>
        </w:rPr>
        <w:t>roles and rights of civil society. Article 12 of the Constitution of 2011 stipulates that “</w:t>
      </w:r>
      <w:r w:rsidR="00AC41F3" w:rsidRPr="00AC41F3">
        <w:rPr>
          <w:rFonts w:ascii="Arial" w:hAnsi="Arial" w:cs="Arial"/>
          <w:color w:val="FF0000"/>
          <w:sz w:val="20"/>
          <w:szCs w:val="20"/>
          <w:lang w:val="en-GB"/>
        </w:rPr>
        <w:t>[t]</w:t>
      </w:r>
      <w:proofErr w:type="gramStart"/>
      <w:r w:rsidR="004567D1" w:rsidRPr="00AC41F3">
        <w:rPr>
          <w:rFonts w:ascii="Arial" w:hAnsi="Arial" w:cs="Arial"/>
          <w:color w:val="FF0000"/>
          <w:sz w:val="20"/>
          <w:szCs w:val="20"/>
          <w:shd w:val="clear" w:color="auto" w:fill="FFFFFF"/>
          <w:lang w:val="en-GB"/>
        </w:rPr>
        <w:t>he</w:t>
      </w:r>
      <w:proofErr w:type="gramEnd"/>
      <w:r w:rsidR="004567D1" w:rsidRPr="00AC41F3">
        <w:rPr>
          <w:rFonts w:ascii="Arial" w:hAnsi="Arial" w:cs="Arial"/>
          <w:color w:val="FF0000"/>
          <w:sz w:val="20"/>
          <w:szCs w:val="20"/>
          <w:shd w:val="clear" w:color="auto" w:fill="FFFFFF"/>
          <w:lang w:val="en-GB"/>
        </w:rPr>
        <w:t xml:space="preserve"> associations of civil society and the non-governmental organizations are constituted and exercise their activities in all freedom, within respect for the Constitution and for the law”</w:t>
      </w:r>
      <w:r w:rsidR="00733AFC" w:rsidRPr="00AC41F3">
        <w:rPr>
          <w:rFonts w:ascii="Arial" w:hAnsi="Arial" w:cs="Arial"/>
          <w:color w:val="FF0000"/>
          <w:sz w:val="20"/>
          <w:szCs w:val="20"/>
          <w:shd w:val="clear" w:color="auto" w:fill="FFFFFF"/>
          <w:lang w:val="en-GB"/>
        </w:rPr>
        <w:t>. Article 29 underlines that “</w:t>
      </w:r>
      <w:r w:rsidR="00AC41F3" w:rsidRPr="00AC41F3">
        <w:rPr>
          <w:rFonts w:ascii="Arial" w:hAnsi="Arial" w:cs="Arial"/>
          <w:color w:val="FF0000"/>
          <w:sz w:val="20"/>
          <w:szCs w:val="20"/>
          <w:lang w:val="en-GB"/>
        </w:rPr>
        <w:t>[t]</w:t>
      </w:r>
      <w:proofErr w:type="gramStart"/>
      <w:r w:rsidR="00733AFC" w:rsidRPr="00AC41F3">
        <w:rPr>
          <w:rFonts w:ascii="Arial" w:hAnsi="Arial" w:cs="Arial"/>
          <w:color w:val="FF0000"/>
          <w:sz w:val="20"/>
          <w:szCs w:val="20"/>
          <w:shd w:val="clear" w:color="auto" w:fill="FFFFFF"/>
          <w:lang w:val="en-GB"/>
        </w:rPr>
        <w:t>he</w:t>
      </w:r>
      <w:proofErr w:type="gramEnd"/>
      <w:r w:rsidR="00733AFC" w:rsidRPr="00AC41F3">
        <w:rPr>
          <w:rFonts w:ascii="Arial" w:hAnsi="Arial" w:cs="Arial"/>
          <w:color w:val="FF0000"/>
          <w:sz w:val="20"/>
          <w:szCs w:val="20"/>
          <w:shd w:val="clear" w:color="auto" w:fill="FFFFFF"/>
          <w:lang w:val="en-GB"/>
        </w:rPr>
        <w:t xml:space="preserve"> freedoms of reunion, of assembly, of peaceful demonstration, of association and of </w:t>
      </w:r>
      <w:r w:rsidR="00AC41F3" w:rsidRPr="00AC41F3">
        <w:rPr>
          <w:rFonts w:ascii="Arial" w:hAnsi="Arial" w:cs="Arial"/>
          <w:color w:val="FF0000"/>
          <w:sz w:val="20"/>
          <w:szCs w:val="20"/>
          <w:shd w:val="clear" w:color="auto" w:fill="FFFFFF"/>
          <w:lang w:val="en-GB"/>
        </w:rPr>
        <w:t>trade union</w:t>
      </w:r>
      <w:r w:rsidR="00733AFC" w:rsidRPr="00AC41F3">
        <w:rPr>
          <w:rFonts w:ascii="Arial" w:hAnsi="Arial" w:cs="Arial"/>
          <w:color w:val="FF0000"/>
          <w:sz w:val="20"/>
          <w:szCs w:val="20"/>
          <w:shd w:val="clear" w:color="auto" w:fill="FFFFFF"/>
          <w:lang w:val="en-GB"/>
        </w:rPr>
        <w:t xml:space="preserve"> and political membership, are guaranteed.” The Morocco’s autonomy proposal in its </w:t>
      </w:r>
      <w:r w:rsidR="004567D1" w:rsidRPr="00AC41F3">
        <w:rPr>
          <w:rFonts w:ascii="Arial" w:hAnsi="Arial" w:cs="Arial"/>
          <w:color w:val="FF0000"/>
          <w:sz w:val="20"/>
          <w:szCs w:val="20"/>
          <w:shd w:val="clear" w:color="auto" w:fill="FFFFFF"/>
          <w:lang w:val="en-GB"/>
        </w:rPr>
        <w:t xml:space="preserve">Article </w:t>
      </w:r>
      <w:r w:rsidR="00733AFC" w:rsidRPr="00AC41F3">
        <w:rPr>
          <w:rFonts w:ascii="Arial" w:hAnsi="Arial" w:cs="Arial"/>
          <w:color w:val="FF0000"/>
          <w:sz w:val="20"/>
          <w:szCs w:val="20"/>
          <w:shd w:val="clear" w:color="auto" w:fill="FFFFFF"/>
          <w:lang w:val="en-GB"/>
        </w:rPr>
        <w:t>25 indicates that:</w:t>
      </w:r>
      <w:r w:rsidR="004567D1" w:rsidRPr="00AC41F3">
        <w:rPr>
          <w:rFonts w:ascii="Arial" w:hAnsi="Arial" w:cs="Arial"/>
          <w:color w:val="FF0000"/>
          <w:sz w:val="20"/>
          <w:szCs w:val="20"/>
          <w:shd w:val="clear" w:color="auto" w:fill="FFFFFF"/>
          <w:lang w:val="en-GB"/>
        </w:rPr>
        <w:t xml:space="preserve"> </w:t>
      </w:r>
      <w:r w:rsidR="00733AFC" w:rsidRPr="00AC41F3">
        <w:rPr>
          <w:rFonts w:ascii="Arial" w:hAnsi="Arial" w:cs="Arial"/>
          <w:color w:val="FF0000"/>
          <w:sz w:val="20"/>
          <w:szCs w:val="20"/>
          <w:shd w:val="clear" w:color="auto" w:fill="FFFFFF"/>
          <w:lang w:val="en-GB"/>
        </w:rPr>
        <w:t>“</w:t>
      </w:r>
      <w:r w:rsidR="00AC41F3" w:rsidRPr="00AC41F3">
        <w:rPr>
          <w:rFonts w:ascii="Arial" w:hAnsi="Arial" w:cs="Arial"/>
          <w:color w:val="FF0000"/>
          <w:sz w:val="20"/>
          <w:szCs w:val="20"/>
          <w:lang w:val="en-GB"/>
        </w:rPr>
        <w:t>[t]</w:t>
      </w:r>
      <w:r w:rsidR="004567D1" w:rsidRPr="00AC41F3">
        <w:rPr>
          <w:rFonts w:ascii="Arial" w:hAnsi="Arial" w:cs="Arial"/>
          <w:color w:val="FF0000"/>
          <w:sz w:val="20"/>
          <w:szCs w:val="20"/>
          <w:shd w:val="clear" w:color="auto" w:fill="FFFFFF"/>
          <w:lang w:val="en-GB"/>
        </w:rPr>
        <w:t>he Region’s populations shall enjoy all the guarantees afforded by the Moroccan Constitution in the area of human rights as they are universally recognized</w:t>
      </w:r>
      <w:r w:rsidR="00733AFC" w:rsidRPr="00AC41F3">
        <w:rPr>
          <w:rFonts w:ascii="Arial" w:hAnsi="Arial" w:cs="Arial"/>
          <w:color w:val="FF0000"/>
          <w:sz w:val="20"/>
          <w:szCs w:val="20"/>
          <w:shd w:val="clear" w:color="auto" w:fill="FFFFFF"/>
          <w:lang w:val="en-GB"/>
        </w:rPr>
        <w:t>”</w:t>
      </w:r>
      <w:r w:rsidR="004567D1" w:rsidRPr="00AC41F3">
        <w:rPr>
          <w:rFonts w:ascii="Arial" w:hAnsi="Arial" w:cs="Arial"/>
          <w:color w:val="FF0000"/>
          <w:sz w:val="20"/>
          <w:szCs w:val="20"/>
          <w:shd w:val="clear" w:color="auto" w:fill="FFFFFF"/>
          <w:lang w:val="en-GB"/>
        </w:rPr>
        <w:t>.</w:t>
      </w:r>
      <w:r w:rsidR="00AC41F3" w:rsidRPr="00AC41F3" w:rsidDel="00AC41F3">
        <w:rPr>
          <w:rFonts w:ascii="Arial" w:hAnsi="Arial" w:cs="Arial"/>
          <w:color w:val="FF0000"/>
          <w:sz w:val="20"/>
          <w:szCs w:val="20"/>
          <w:shd w:val="clear" w:color="auto" w:fill="FFFFFF"/>
          <w:lang w:val="en-GB"/>
        </w:rPr>
        <w:t xml:space="preserve"> </w:t>
      </w:r>
      <w:r w:rsidR="00733AFC" w:rsidRPr="00AC41F3">
        <w:rPr>
          <w:rFonts w:ascii="Arial" w:hAnsi="Arial" w:cs="Arial"/>
          <w:color w:val="FF0000"/>
          <w:sz w:val="20"/>
          <w:szCs w:val="20"/>
          <w:shd w:val="clear" w:color="auto" w:fill="FFFFFF"/>
          <w:lang w:val="en-GB"/>
        </w:rPr>
        <w:t xml:space="preserve">Recently, </w:t>
      </w:r>
      <w:r w:rsidR="004567D1" w:rsidRPr="00AC41F3">
        <w:rPr>
          <w:rFonts w:ascii="Arial" w:hAnsi="Arial" w:cs="Arial"/>
          <w:color w:val="FF0000"/>
          <w:sz w:val="20"/>
          <w:szCs w:val="20"/>
          <w:shd w:val="clear" w:color="auto" w:fill="FFFFFF"/>
          <w:lang w:val="en-GB"/>
        </w:rPr>
        <w:t>Morocco launched the “National Dialogue on Civil Society and the New Constitutional Prerogatives”</w:t>
      </w:r>
      <w:r w:rsidR="00733AFC" w:rsidRPr="00AC41F3">
        <w:rPr>
          <w:rFonts w:ascii="Arial" w:hAnsi="Arial" w:cs="Arial"/>
          <w:color w:val="FF0000"/>
          <w:sz w:val="20"/>
          <w:szCs w:val="20"/>
          <w:shd w:val="clear" w:color="auto" w:fill="FFFFFF"/>
          <w:lang w:val="en-GB"/>
        </w:rPr>
        <w:t xml:space="preserve"> </w:t>
      </w:r>
      <w:r w:rsidR="00AC41F3">
        <w:rPr>
          <w:rFonts w:ascii="Arial" w:hAnsi="Arial" w:cs="Arial"/>
          <w:color w:val="FF0000"/>
          <w:sz w:val="20"/>
          <w:szCs w:val="20"/>
          <w:shd w:val="clear" w:color="auto" w:fill="FFFFFF"/>
          <w:lang w:val="en-GB"/>
        </w:rPr>
        <w:t>w</w:t>
      </w:r>
      <w:r w:rsidR="00733AFC" w:rsidRPr="00AC41F3">
        <w:rPr>
          <w:rFonts w:ascii="Arial" w:hAnsi="Arial" w:cs="Arial"/>
          <w:color w:val="FF0000"/>
          <w:sz w:val="20"/>
          <w:szCs w:val="20"/>
          <w:shd w:val="clear" w:color="auto" w:fill="FFFFFF"/>
          <w:lang w:val="en-GB"/>
        </w:rPr>
        <w:t>ith the objective o</w:t>
      </w:r>
      <w:r w:rsidR="00AC41F3">
        <w:rPr>
          <w:rFonts w:ascii="Arial" w:hAnsi="Arial" w:cs="Arial"/>
          <w:color w:val="FF0000"/>
          <w:sz w:val="20"/>
          <w:szCs w:val="20"/>
          <w:shd w:val="clear" w:color="auto" w:fill="FFFFFF"/>
          <w:lang w:val="en-GB"/>
        </w:rPr>
        <w:t>f</w:t>
      </w:r>
      <w:r w:rsidR="00733AFC" w:rsidRPr="00AC41F3">
        <w:rPr>
          <w:rFonts w:ascii="Arial" w:hAnsi="Arial" w:cs="Arial"/>
          <w:color w:val="FF0000"/>
          <w:sz w:val="20"/>
          <w:szCs w:val="20"/>
          <w:shd w:val="clear" w:color="auto" w:fill="FFFFFF"/>
          <w:lang w:val="en-GB"/>
        </w:rPr>
        <w:t xml:space="preserve"> </w:t>
      </w:r>
      <w:r w:rsidR="00AC41F3" w:rsidRPr="00AC41F3">
        <w:rPr>
          <w:rFonts w:ascii="Arial" w:hAnsi="Arial" w:cs="Arial"/>
          <w:color w:val="FF0000"/>
          <w:sz w:val="20"/>
          <w:szCs w:val="20"/>
          <w:shd w:val="clear" w:color="auto" w:fill="FFFFFF"/>
          <w:lang w:val="en-GB"/>
        </w:rPr>
        <w:t>promot</w:t>
      </w:r>
      <w:r w:rsidR="00AC41F3">
        <w:rPr>
          <w:rFonts w:ascii="Arial" w:hAnsi="Arial" w:cs="Arial"/>
          <w:color w:val="FF0000"/>
          <w:sz w:val="20"/>
          <w:szCs w:val="20"/>
          <w:shd w:val="clear" w:color="auto" w:fill="FFFFFF"/>
          <w:lang w:val="en-GB"/>
        </w:rPr>
        <w:t>ing</w:t>
      </w:r>
      <w:r w:rsidR="00733AFC" w:rsidRPr="00AC41F3">
        <w:rPr>
          <w:rFonts w:ascii="Arial" w:hAnsi="Arial" w:cs="Arial"/>
          <w:color w:val="FF0000"/>
          <w:sz w:val="20"/>
          <w:szCs w:val="20"/>
          <w:shd w:val="clear" w:color="auto" w:fill="FFFFFF"/>
          <w:lang w:val="en-GB"/>
        </w:rPr>
        <w:t xml:space="preserve"> the participation of the citizens and the associations in the enactment and the application of the program</w:t>
      </w:r>
      <w:r w:rsidR="00AC41F3" w:rsidRPr="00AC41F3">
        <w:rPr>
          <w:rFonts w:ascii="Arial" w:hAnsi="Arial" w:cs="Arial"/>
          <w:color w:val="FF0000"/>
          <w:sz w:val="20"/>
          <w:szCs w:val="20"/>
          <w:shd w:val="clear" w:color="auto" w:fill="FFFFFF"/>
          <w:lang w:val="en-GB"/>
        </w:rPr>
        <w:t>me</w:t>
      </w:r>
      <w:r w:rsidR="00733AFC" w:rsidRPr="00AC41F3">
        <w:rPr>
          <w:rFonts w:ascii="Arial" w:hAnsi="Arial" w:cs="Arial"/>
          <w:color w:val="FF0000"/>
          <w:sz w:val="20"/>
          <w:szCs w:val="20"/>
          <w:shd w:val="clear" w:color="auto" w:fill="FFFFFF"/>
          <w:lang w:val="en-GB"/>
        </w:rPr>
        <w:t>s of development.</w:t>
      </w:r>
    </w:p>
    <w:p w:rsidR="004567D1" w:rsidRPr="00AC41F3" w:rsidRDefault="004567D1" w:rsidP="00FC550C">
      <w:pPr>
        <w:autoSpaceDE w:val="0"/>
        <w:autoSpaceDN w:val="0"/>
        <w:adjustRightInd w:val="0"/>
        <w:spacing w:after="0" w:line="240" w:lineRule="auto"/>
        <w:jc w:val="both"/>
        <w:rPr>
          <w:rFonts w:ascii="Arial" w:hAnsi="Arial" w:cs="Arial"/>
          <w:color w:val="FF0000"/>
          <w:sz w:val="20"/>
          <w:szCs w:val="20"/>
          <w:shd w:val="clear" w:color="auto" w:fill="FFFFFF"/>
          <w:lang w:val="en-GB"/>
        </w:rPr>
      </w:pPr>
    </w:p>
    <w:p w:rsidR="004567D1" w:rsidRPr="00AC41F3" w:rsidRDefault="00AC41F3" w:rsidP="004567D1">
      <w:pPr>
        <w:autoSpaceDE w:val="0"/>
        <w:autoSpaceDN w:val="0"/>
        <w:adjustRightInd w:val="0"/>
        <w:spacing w:after="0" w:line="240" w:lineRule="auto"/>
        <w:jc w:val="both"/>
        <w:rPr>
          <w:rFonts w:ascii="Arial" w:hAnsi="Arial" w:cs="Arial"/>
          <w:color w:val="FF0000"/>
          <w:sz w:val="20"/>
          <w:szCs w:val="20"/>
          <w:shd w:val="clear" w:color="auto" w:fill="FFFFFF"/>
          <w:lang w:val="en-GB"/>
        </w:rPr>
      </w:pPr>
      <w:r w:rsidRPr="00AC41F3">
        <w:rPr>
          <w:rFonts w:ascii="Arial" w:hAnsi="Arial" w:cs="Arial"/>
          <w:color w:val="FF0000"/>
          <w:sz w:val="20"/>
          <w:szCs w:val="20"/>
          <w:shd w:val="clear" w:color="auto" w:fill="FFFFFF"/>
          <w:lang w:val="en-GB"/>
        </w:rPr>
        <w:t>U</w:t>
      </w:r>
      <w:r w:rsidR="00FC550C" w:rsidRPr="00AC41F3">
        <w:rPr>
          <w:rFonts w:ascii="Arial" w:hAnsi="Arial" w:cs="Arial"/>
          <w:color w:val="FF0000"/>
          <w:sz w:val="20"/>
          <w:szCs w:val="20"/>
          <w:shd w:val="clear" w:color="auto" w:fill="FFFFFF"/>
          <w:lang w:val="en-GB"/>
        </w:rPr>
        <w:t xml:space="preserve">nder the </w:t>
      </w:r>
      <w:r w:rsidRPr="00AC41F3">
        <w:rPr>
          <w:rFonts w:ascii="Arial" w:hAnsi="Arial" w:cs="Arial"/>
          <w:color w:val="FF0000"/>
          <w:sz w:val="20"/>
          <w:szCs w:val="20"/>
          <w:shd w:val="clear" w:color="auto" w:fill="FFFFFF"/>
          <w:lang w:val="en-GB"/>
        </w:rPr>
        <w:t xml:space="preserve">Moroccan </w:t>
      </w:r>
      <w:r w:rsidR="00FC550C" w:rsidRPr="00AC41F3">
        <w:rPr>
          <w:rFonts w:ascii="Arial" w:hAnsi="Arial" w:cs="Arial"/>
          <w:color w:val="FF0000"/>
          <w:sz w:val="20"/>
          <w:szCs w:val="20"/>
          <w:shd w:val="clear" w:color="auto" w:fill="FFFFFF"/>
          <w:lang w:val="en-GB"/>
        </w:rPr>
        <w:t>Initiative</w:t>
      </w:r>
      <w:r w:rsidRPr="00AC41F3">
        <w:rPr>
          <w:rFonts w:ascii="Arial" w:hAnsi="Arial" w:cs="Arial"/>
          <w:color w:val="FF0000"/>
          <w:sz w:val="20"/>
          <w:szCs w:val="20"/>
          <w:shd w:val="clear" w:color="auto" w:fill="FFFFFF"/>
          <w:lang w:val="en-GB"/>
        </w:rPr>
        <w:t xml:space="preserve"> for Sahara</w:t>
      </w:r>
      <w:r w:rsidR="00FC550C" w:rsidRPr="00AC41F3">
        <w:rPr>
          <w:rFonts w:ascii="Arial" w:hAnsi="Arial" w:cs="Arial"/>
          <w:color w:val="FF0000"/>
          <w:sz w:val="20"/>
          <w:szCs w:val="20"/>
          <w:shd w:val="clear" w:color="auto" w:fill="FFFFFF"/>
          <w:lang w:val="en-GB"/>
        </w:rPr>
        <w:t>, citizens and civil society organizations will also act within legislative and regulatory frameworks but with possible recourse to a regional court system that will complement the national one. According to its Article 22, “[c]</w:t>
      </w:r>
      <w:proofErr w:type="spellStart"/>
      <w:r w:rsidR="00FC550C" w:rsidRPr="00AC41F3">
        <w:rPr>
          <w:rFonts w:ascii="Arial" w:hAnsi="Arial" w:cs="Arial"/>
          <w:color w:val="FF0000"/>
          <w:sz w:val="20"/>
          <w:szCs w:val="20"/>
          <w:shd w:val="clear" w:color="auto" w:fill="FFFFFF"/>
          <w:lang w:val="en-GB"/>
        </w:rPr>
        <w:t>ourts</w:t>
      </w:r>
      <w:proofErr w:type="spellEnd"/>
      <w:r w:rsidR="00FC550C" w:rsidRPr="00AC41F3">
        <w:rPr>
          <w:rFonts w:ascii="Arial" w:hAnsi="Arial" w:cs="Arial"/>
          <w:color w:val="FF0000"/>
          <w:sz w:val="20"/>
          <w:szCs w:val="20"/>
          <w:shd w:val="clear" w:color="auto" w:fill="FFFFFF"/>
          <w:lang w:val="en-GB"/>
        </w:rPr>
        <w:t xml:space="preserve"> may be set up by the regional Parliament to give rulings on disputes arising from enforcement of norms enacted by the competent bodies of the Sahara autonomous Region. These courts shall give their rulings with complete independence, in the name of the King.” In addition, Article 23 states that, “[a]s the highest jurisdiction of the Sahara autonomous Region, the High Regional Court shall give final decisions regarding the interpretation of the Region’s legislation, without prejudice to the powers of the Kingdom’s Supreme Court or Constitutional Council.”</w:t>
      </w:r>
      <w:r w:rsidRPr="00AC41F3">
        <w:rPr>
          <w:rFonts w:ascii="Arial" w:hAnsi="Arial" w:cs="Arial"/>
          <w:color w:val="FF0000"/>
          <w:sz w:val="20"/>
          <w:szCs w:val="20"/>
          <w:shd w:val="clear" w:color="auto" w:fill="FFFFFF"/>
          <w:lang w:val="en-GB"/>
        </w:rPr>
        <w:t xml:space="preserve"> According to </w:t>
      </w:r>
      <w:r w:rsidR="004567D1" w:rsidRPr="00AC41F3">
        <w:rPr>
          <w:rFonts w:ascii="Arial" w:hAnsi="Arial" w:cs="Arial"/>
          <w:color w:val="FF0000"/>
          <w:sz w:val="20"/>
          <w:szCs w:val="20"/>
          <w:shd w:val="clear" w:color="auto" w:fill="FFFFFF"/>
          <w:lang w:val="en-GB"/>
        </w:rPr>
        <w:t>Article 24, “</w:t>
      </w:r>
      <w:r w:rsidRPr="00AC41F3">
        <w:rPr>
          <w:rFonts w:ascii="Arial" w:hAnsi="Arial" w:cs="Arial"/>
          <w:color w:val="FF0000"/>
          <w:sz w:val="20"/>
          <w:szCs w:val="20"/>
          <w:lang w:val="en-GB"/>
        </w:rPr>
        <w:t>[l]</w:t>
      </w:r>
      <w:proofErr w:type="spellStart"/>
      <w:r w:rsidRPr="00AC41F3">
        <w:rPr>
          <w:rFonts w:ascii="Arial" w:hAnsi="Arial" w:cs="Arial"/>
          <w:color w:val="FF0000"/>
          <w:sz w:val="20"/>
          <w:szCs w:val="20"/>
          <w:shd w:val="clear" w:color="auto" w:fill="FFFFFF"/>
          <w:lang w:val="en-GB"/>
        </w:rPr>
        <w:t>a</w:t>
      </w:r>
      <w:r w:rsidR="004567D1" w:rsidRPr="00AC41F3">
        <w:rPr>
          <w:rFonts w:ascii="Arial" w:hAnsi="Arial" w:cs="Arial"/>
          <w:color w:val="FF0000"/>
          <w:sz w:val="20"/>
          <w:szCs w:val="20"/>
          <w:shd w:val="clear" w:color="auto" w:fill="FFFFFF"/>
          <w:lang w:val="en-GB"/>
        </w:rPr>
        <w:t>ws</w:t>
      </w:r>
      <w:proofErr w:type="spellEnd"/>
      <w:r w:rsidR="004567D1" w:rsidRPr="00AC41F3">
        <w:rPr>
          <w:rFonts w:ascii="Arial" w:hAnsi="Arial" w:cs="Arial"/>
          <w:color w:val="FF0000"/>
          <w:sz w:val="20"/>
          <w:szCs w:val="20"/>
          <w:shd w:val="clear" w:color="auto" w:fill="FFFFFF"/>
          <w:lang w:val="en-GB"/>
        </w:rPr>
        <w:t>, regulations and court rulings issued by the bodies of the Sahara autonomous Region shall be consistent with the Region’s autonomy Statute and with the Kingdom’s Constitution.”</w:t>
      </w:r>
    </w:p>
    <w:p w:rsidR="00FC550C" w:rsidRPr="00AC41F3" w:rsidRDefault="00FC550C" w:rsidP="00001F6A">
      <w:pPr>
        <w:pStyle w:val="body"/>
        <w:shd w:val="clear" w:color="auto" w:fill="FFFFFF"/>
        <w:spacing w:before="0" w:beforeAutospacing="0" w:after="0" w:afterAutospacing="0"/>
        <w:jc w:val="both"/>
        <w:rPr>
          <w:rFonts w:ascii="Arial" w:hAnsi="Arial" w:cs="Arial"/>
          <w:color w:val="FF0000"/>
          <w:sz w:val="20"/>
          <w:szCs w:val="20"/>
          <w:shd w:val="clear" w:color="auto" w:fill="FFFFFF"/>
          <w:lang w:val="en-GB"/>
        </w:rPr>
      </w:pPr>
    </w:p>
    <w:p w:rsidR="00CB5AAB" w:rsidRPr="00FA0CCB" w:rsidRDefault="00CB5AAB" w:rsidP="00FA0CCB">
      <w:pPr>
        <w:pStyle w:val="body"/>
        <w:numPr>
          <w:ilvl w:val="0"/>
          <w:numId w:val="1"/>
        </w:numPr>
        <w:shd w:val="clear" w:color="auto" w:fill="FFFFFF"/>
        <w:spacing w:before="0" w:beforeAutospacing="0" w:after="0" w:afterAutospacing="0"/>
        <w:jc w:val="both"/>
        <w:rPr>
          <w:rFonts w:ascii="Arial" w:hAnsi="Arial" w:cs="Arial"/>
          <w:b/>
          <w:color w:val="000000" w:themeColor="text1"/>
          <w:sz w:val="20"/>
          <w:szCs w:val="20"/>
          <w:shd w:val="clear" w:color="auto" w:fill="FFFFFF"/>
          <w:lang w:val="en-GB"/>
        </w:rPr>
      </w:pPr>
      <w:r w:rsidRPr="00FA0CCB">
        <w:rPr>
          <w:rFonts w:ascii="Arial" w:hAnsi="Arial" w:cs="Arial"/>
          <w:b/>
          <w:color w:val="000000" w:themeColor="text1"/>
          <w:sz w:val="20"/>
          <w:szCs w:val="20"/>
          <w:shd w:val="clear" w:color="auto" w:fill="FFFFFF"/>
          <w:lang w:val="en-GB"/>
        </w:rPr>
        <w:t xml:space="preserve">NGOs/Civil Society and International Instruments &amp; Mechanisms </w:t>
      </w:r>
      <w:r w:rsidR="002D4572" w:rsidRPr="00FA0CCB">
        <w:rPr>
          <w:rFonts w:ascii="Arial" w:hAnsi="Arial" w:cs="Arial"/>
          <w:b/>
          <w:color w:val="000000" w:themeColor="text1"/>
          <w:sz w:val="20"/>
          <w:szCs w:val="20"/>
          <w:shd w:val="clear" w:color="auto" w:fill="FFFFFF"/>
          <w:lang w:val="en-GB"/>
        </w:rPr>
        <w:t>of H</w:t>
      </w:r>
      <w:r w:rsidRPr="00FA0CCB">
        <w:rPr>
          <w:rFonts w:ascii="Arial" w:hAnsi="Arial" w:cs="Arial"/>
          <w:b/>
          <w:color w:val="000000" w:themeColor="text1"/>
          <w:sz w:val="20"/>
          <w:szCs w:val="20"/>
          <w:shd w:val="clear" w:color="auto" w:fill="FFFFFF"/>
          <w:lang w:val="en-GB"/>
        </w:rPr>
        <w:t xml:space="preserve">uman </w:t>
      </w:r>
      <w:r w:rsidR="002D4572" w:rsidRPr="00FA0CCB">
        <w:rPr>
          <w:rFonts w:ascii="Arial" w:hAnsi="Arial" w:cs="Arial"/>
          <w:b/>
          <w:color w:val="000000" w:themeColor="text1"/>
          <w:sz w:val="20"/>
          <w:szCs w:val="20"/>
          <w:shd w:val="clear" w:color="auto" w:fill="FFFFFF"/>
          <w:lang w:val="en-GB"/>
        </w:rPr>
        <w:t>R</w:t>
      </w:r>
      <w:r w:rsidRPr="00FA0CCB">
        <w:rPr>
          <w:rFonts w:ascii="Arial" w:hAnsi="Arial" w:cs="Arial"/>
          <w:b/>
          <w:color w:val="000000" w:themeColor="text1"/>
          <w:sz w:val="20"/>
          <w:szCs w:val="20"/>
          <w:shd w:val="clear" w:color="auto" w:fill="FFFFFF"/>
          <w:lang w:val="en-GB"/>
        </w:rPr>
        <w:t xml:space="preserve">ights </w:t>
      </w:r>
    </w:p>
    <w:p w:rsidR="00FA0CCB" w:rsidRPr="001209DF" w:rsidRDefault="00FA0CCB" w:rsidP="00001F6A">
      <w:pPr>
        <w:pStyle w:val="body"/>
        <w:shd w:val="clear" w:color="auto" w:fill="FFFFFF"/>
        <w:spacing w:before="0" w:beforeAutospacing="0" w:after="0" w:afterAutospacing="0"/>
        <w:jc w:val="both"/>
        <w:rPr>
          <w:rFonts w:ascii="Arial" w:hAnsi="Arial" w:cs="Arial"/>
          <w:b/>
          <w:i/>
          <w:color w:val="000000" w:themeColor="text1"/>
          <w:sz w:val="20"/>
          <w:szCs w:val="20"/>
          <w:shd w:val="clear" w:color="auto" w:fill="FFFFFF"/>
          <w:lang w:val="en-GB"/>
        </w:rPr>
      </w:pPr>
    </w:p>
    <w:p w:rsidR="002D4572" w:rsidRDefault="00CB5AAB" w:rsidP="00001F6A">
      <w:pPr>
        <w:spacing w:after="0" w:line="240" w:lineRule="auto"/>
        <w:jc w:val="both"/>
        <w:rPr>
          <w:rFonts w:ascii="Arial" w:hAnsi="Arial" w:cs="Arial"/>
          <w:color w:val="000000" w:themeColor="text1"/>
          <w:sz w:val="20"/>
          <w:szCs w:val="20"/>
          <w:lang w:val="en-GB"/>
        </w:rPr>
      </w:pPr>
      <w:r w:rsidRPr="001209DF">
        <w:rPr>
          <w:rFonts w:ascii="Arial" w:hAnsi="Arial" w:cs="Arial"/>
          <w:color w:val="000000" w:themeColor="text1"/>
          <w:sz w:val="20"/>
          <w:szCs w:val="20"/>
          <w:lang w:val="en-GB"/>
        </w:rPr>
        <w:t>India is signatory to multiple international human rights treaty bodies and declaratory frameworks and the country’s NGOs/civil society bodies have effectively used international conferences, ‘shadow reports’, trans</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national networks and empirical documentation to pressure accountability for India’s obligations</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w:t>
      </w:r>
      <w:r w:rsidR="002D4572">
        <w:rPr>
          <w:rFonts w:ascii="Arial" w:hAnsi="Arial" w:cs="Arial"/>
          <w:color w:val="000000" w:themeColor="text1"/>
          <w:sz w:val="20"/>
          <w:szCs w:val="20"/>
          <w:lang w:val="en-GB"/>
        </w:rPr>
        <w:t>the Convention on the Elimination of Discrimination against Women (</w:t>
      </w:r>
      <w:r w:rsidRPr="001209DF">
        <w:rPr>
          <w:rFonts w:ascii="Arial" w:hAnsi="Arial" w:cs="Arial"/>
          <w:color w:val="000000" w:themeColor="text1"/>
          <w:sz w:val="20"/>
          <w:szCs w:val="20"/>
          <w:lang w:val="en-GB"/>
        </w:rPr>
        <w:t>CEDAW</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UN Human Rights Council, Child Rights Conventions, UN Permanent Forum on Indigenous Issues, Beijing </w:t>
      </w:r>
      <w:r w:rsidR="002D4572">
        <w:rPr>
          <w:rFonts w:ascii="Arial" w:hAnsi="Arial" w:cs="Arial"/>
          <w:color w:val="000000" w:themeColor="text1"/>
          <w:sz w:val="20"/>
          <w:szCs w:val="20"/>
          <w:lang w:val="en-GB"/>
        </w:rPr>
        <w:t>Platform for Action (</w:t>
      </w:r>
      <w:r w:rsidRPr="001209DF">
        <w:rPr>
          <w:rFonts w:ascii="Arial" w:hAnsi="Arial" w:cs="Arial"/>
          <w:color w:val="000000" w:themeColor="text1"/>
          <w:sz w:val="20"/>
          <w:szCs w:val="20"/>
          <w:lang w:val="en-GB"/>
        </w:rPr>
        <w:t>PFA</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review processes, etc. Indian diplomats have been hostile to human rights defenders who have sought to raise in New York and Geneva on the sidelines of the meeting of the UN Human Rights Council, </w:t>
      </w:r>
      <w:r w:rsidR="002D4572">
        <w:rPr>
          <w:rFonts w:ascii="Arial" w:hAnsi="Arial" w:cs="Arial"/>
          <w:color w:val="000000" w:themeColor="text1"/>
          <w:sz w:val="20"/>
          <w:szCs w:val="20"/>
          <w:lang w:val="en-GB"/>
        </w:rPr>
        <w:t>Commission on the Status of Women (</w:t>
      </w:r>
      <w:r w:rsidRPr="001209DF">
        <w:rPr>
          <w:rFonts w:ascii="Arial" w:hAnsi="Arial" w:cs="Arial"/>
          <w:color w:val="000000" w:themeColor="text1"/>
          <w:sz w:val="20"/>
          <w:szCs w:val="20"/>
          <w:lang w:val="en-GB"/>
        </w:rPr>
        <w:t>CSW</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and CEDAW Committee and the issues of AFSPA, communal violence, forcible displacement and disappearances. The government is opposed to potentially intrusive human rights monitoring of its conflicts.</w:t>
      </w:r>
      <w:r w:rsidR="002D4572">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At the national level</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 xml:space="preserve"> </w:t>
      </w:r>
      <w:r w:rsidR="002D4572">
        <w:rPr>
          <w:rFonts w:ascii="Arial" w:hAnsi="Arial" w:cs="Arial"/>
          <w:color w:val="000000" w:themeColor="text1"/>
          <w:sz w:val="20"/>
          <w:szCs w:val="20"/>
          <w:lang w:val="en-GB"/>
        </w:rPr>
        <w:t>r</w:t>
      </w:r>
      <w:r w:rsidRPr="001209DF">
        <w:rPr>
          <w:rFonts w:ascii="Arial" w:hAnsi="Arial" w:cs="Arial"/>
          <w:color w:val="000000" w:themeColor="text1"/>
          <w:sz w:val="20"/>
          <w:szCs w:val="20"/>
          <w:lang w:val="en-GB"/>
        </w:rPr>
        <w:t>epresentative</w:t>
      </w:r>
      <w:r w:rsidR="002D4572">
        <w:rPr>
          <w:rFonts w:ascii="Arial" w:hAnsi="Arial" w:cs="Arial"/>
          <w:color w:val="000000" w:themeColor="text1"/>
          <w:sz w:val="20"/>
          <w:szCs w:val="20"/>
          <w:lang w:val="en-GB"/>
        </w:rPr>
        <w:t>s</w:t>
      </w:r>
      <w:r w:rsidRPr="001209DF">
        <w:rPr>
          <w:rFonts w:ascii="Arial" w:hAnsi="Arial" w:cs="Arial"/>
          <w:color w:val="000000" w:themeColor="text1"/>
          <w:sz w:val="20"/>
          <w:szCs w:val="20"/>
          <w:lang w:val="en-GB"/>
        </w:rPr>
        <w:t xml:space="preserve"> of civil society bodies are included in the consultative mechanisms of the National Commission of Women, National Commission for Human Rights etc. NGOs patronized by government agencies are involved in high</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level ‘independent’ panels on health, education, customary tribal rights</w:t>
      </w:r>
      <w:r w:rsidR="002D4572">
        <w:rPr>
          <w:rFonts w:ascii="Arial" w:hAnsi="Arial" w:cs="Arial"/>
          <w:color w:val="000000" w:themeColor="text1"/>
          <w:sz w:val="20"/>
          <w:szCs w:val="20"/>
          <w:lang w:val="en-GB"/>
        </w:rPr>
        <w:t xml:space="preserve">, </w:t>
      </w:r>
      <w:r w:rsidRPr="001209DF">
        <w:rPr>
          <w:rFonts w:ascii="Arial" w:hAnsi="Arial" w:cs="Arial"/>
          <w:color w:val="000000" w:themeColor="text1"/>
          <w:sz w:val="20"/>
          <w:szCs w:val="20"/>
          <w:lang w:val="en-GB"/>
        </w:rPr>
        <w:t>etc. Local NGOs and civil society groups connect with national networks to raise human rights issues as well as bring out fact</w:t>
      </w:r>
      <w:r w:rsidR="002D4572">
        <w:rPr>
          <w:rFonts w:ascii="Arial" w:hAnsi="Arial" w:cs="Arial"/>
          <w:color w:val="000000" w:themeColor="text1"/>
          <w:sz w:val="20"/>
          <w:szCs w:val="20"/>
          <w:lang w:val="en-GB"/>
        </w:rPr>
        <w:t>-</w:t>
      </w:r>
      <w:r w:rsidRPr="001209DF">
        <w:rPr>
          <w:rFonts w:ascii="Arial" w:hAnsi="Arial" w:cs="Arial"/>
          <w:color w:val="000000" w:themeColor="text1"/>
          <w:sz w:val="20"/>
          <w:szCs w:val="20"/>
          <w:lang w:val="en-GB"/>
        </w:rPr>
        <w:t>finding reports and analysis. In addition, the Northeast has a now a vibrant mass media and social media, but national security scanner acts as a huge constraint on both.</w:t>
      </w:r>
    </w:p>
    <w:p w:rsidR="00CB5AAB" w:rsidRPr="00FC550C" w:rsidRDefault="00CB5AAB" w:rsidP="00001F6A">
      <w:pPr>
        <w:spacing w:after="0" w:line="240" w:lineRule="auto"/>
        <w:jc w:val="both"/>
        <w:rPr>
          <w:rFonts w:ascii="Arial" w:hAnsi="Arial" w:cs="Arial"/>
          <w:b/>
          <w:color w:val="FF0000"/>
          <w:sz w:val="20"/>
          <w:szCs w:val="20"/>
          <w:lang w:val="en-GB"/>
        </w:rPr>
      </w:pPr>
    </w:p>
    <w:p w:rsidR="00FC550C" w:rsidRPr="00AC41F3" w:rsidRDefault="00FC550C" w:rsidP="00001F6A">
      <w:pPr>
        <w:spacing w:after="0" w:line="240" w:lineRule="auto"/>
        <w:jc w:val="both"/>
        <w:rPr>
          <w:rFonts w:ascii="Arial" w:hAnsi="Arial" w:cs="Arial"/>
          <w:color w:val="FF0000"/>
          <w:sz w:val="20"/>
          <w:szCs w:val="20"/>
          <w:lang w:val="en-GB"/>
        </w:rPr>
      </w:pPr>
      <w:r w:rsidRPr="00AC41F3">
        <w:rPr>
          <w:rFonts w:ascii="Arial" w:hAnsi="Arial" w:cs="Arial"/>
          <w:color w:val="FF0000"/>
          <w:sz w:val="20"/>
          <w:szCs w:val="20"/>
          <w:lang w:val="en-GB"/>
        </w:rPr>
        <w:t>Since many NGOs are currently active in Morocco in the protection and promotion of human rights, including at the international level, one can assume that this will also be the case for the NGOs in the autonomous Sahara region in compliance with the above-mentioned Article 25 of the Initiative.</w:t>
      </w:r>
      <w:r w:rsidR="0012608D">
        <w:rPr>
          <w:rFonts w:ascii="Arial" w:hAnsi="Arial" w:cs="Arial"/>
          <w:color w:val="FF0000"/>
          <w:sz w:val="20"/>
          <w:szCs w:val="20"/>
          <w:lang w:val="en-GB"/>
        </w:rPr>
        <w:t xml:space="preserve"> Arguably, as evident from Indian experiences, national security considerations c</w:t>
      </w:r>
      <w:r w:rsidR="005527E4">
        <w:rPr>
          <w:rFonts w:ascii="Arial" w:hAnsi="Arial" w:cs="Arial"/>
          <w:color w:val="FF0000"/>
          <w:sz w:val="20"/>
          <w:szCs w:val="20"/>
          <w:lang w:val="en-GB"/>
        </w:rPr>
        <w:t xml:space="preserve">an </w:t>
      </w:r>
      <w:r w:rsidR="0012608D">
        <w:rPr>
          <w:rFonts w:ascii="Arial" w:hAnsi="Arial" w:cs="Arial"/>
          <w:color w:val="FF0000"/>
          <w:sz w:val="20"/>
          <w:szCs w:val="20"/>
          <w:lang w:val="en-GB"/>
        </w:rPr>
        <w:t xml:space="preserve">significantly shrink </w:t>
      </w:r>
      <w:r w:rsidR="005527E4">
        <w:rPr>
          <w:rFonts w:ascii="Arial" w:hAnsi="Arial" w:cs="Arial"/>
          <w:color w:val="FF0000"/>
          <w:sz w:val="20"/>
          <w:szCs w:val="20"/>
          <w:lang w:val="en-GB"/>
        </w:rPr>
        <w:t>the space for civil society’s activities.</w:t>
      </w:r>
      <w:bookmarkStart w:id="0" w:name="_GoBack"/>
      <w:bookmarkEnd w:id="0"/>
    </w:p>
    <w:p w:rsidR="00FC550C" w:rsidRPr="00AC41F3" w:rsidRDefault="00FC550C" w:rsidP="00001F6A">
      <w:pPr>
        <w:spacing w:after="0" w:line="240" w:lineRule="auto"/>
        <w:jc w:val="both"/>
        <w:rPr>
          <w:rFonts w:ascii="Arial" w:hAnsi="Arial" w:cs="Arial"/>
          <w:b/>
          <w:color w:val="FF0000"/>
          <w:sz w:val="20"/>
          <w:szCs w:val="20"/>
          <w:lang w:val="en-GB"/>
        </w:rPr>
      </w:pPr>
    </w:p>
    <w:p w:rsidR="00FA0CCB" w:rsidRPr="00FA0CCB" w:rsidRDefault="00FA0CCB" w:rsidP="00001F6A">
      <w:pPr>
        <w:spacing w:after="0" w:line="240" w:lineRule="auto"/>
        <w:jc w:val="both"/>
        <w:rPr>
          <w:rFonts w:ascii="Arial" w:hAnsi="Arial" w:cs="Arial"/>
          <w:b/>
          <w:color w:val="000000" w:themeColor="text1"/>
          <w:sz w:val="20"/>
          <w:szCs w:val="20"/>
          <w:lang w:val="en-GB"/>
        </w:rPr>
      </w:pPr>
    </w:p>
    <w:p w:rsidR="002D4572" w:rsidRPr="00FA0CCB" w:rsidRDefault="00CB5AAB" w:rsidP="00FA0CCB">
      <w:pPr>
        <w:pStyle w:val="ListParagraph"/>
        <w:numPr>
          <w:ilvl w:val="0"/>
          <w:numId w:val="4"/>
        </w:numPr>
        <w:spacing w:after="0" w:line="240" w:lineRule="auto"/>
        <w:jc w:val="both"/>
        <w:rPr>
          <w:rFonts w:ascii="Arial" w:hAnsi="Arial" w:cs="Arial"/>
          <w:b/>
          <w:color w:val="000000" w:themeColor="text1"/>
          <w:sz w:val="20"/>
          <w:szCs w:val="20"/>
          <w:lang w:val="en-GB"/>
        </w:rPr>
      </w:pPr>
      <w:r w:rsidRPr="00FA0CCB">
        <w:rPr>
          <w:rFonts w:ascii="Arial" w:hAnsi="Arial" w:cs="Arial"/>
          <w:b/>
          <w:color w:val="000000" w:themeColor="text1"/>
          <w:sz w:val="20"/>
          <w:szCs w:val="20"/>
          <w:lang w:val="en-GB"/>
        </w:rPr>
        <w:t>Concluding Comment</w:t>
      </w:r>
      <w:r w:rsidR="002D4572" w:rsidRPr="00FA0CCB">
        <w:rPr>
          <w:rFonts w:ascii="Arial" w:hAnsi="Arial" w:cs="Arial"/>
          <w:b/>
          <w:color w:val="000000" w:themeColor="text1"/>
          <w:sz w:val="20"/>
          <w:szCs w:val="20"/>
          <w:lang w:val="en-GB"/>
        </w:rPr>
        <w:t>s</w:t>
      </w:r>
      <w:r w:rsidRPr="00FA0CCB">
        <w:rPr>
          <w:rFonts w:ascii="Arial" w:hAnsi="Arial" w:cs="Arial"/>
          <w:b/>
          <w:color w:val="000000" w:themeColor="text1"/>
          <w:sz w:val="20"/>
          <w:szCs w:val="20"/>
          <w:lang w:val="en-GB"/>
        </w:rPr>
        <w:t xml:space="preserve"> </w:t>
      </w:r>
    </w:p>
    <w:p w:rsidR="002D4572" w:rsidRPr="00FA0CCB" w:rsidRDefault="002D4572" w:rsidP="00001F6A">
      <w:pPr>
        <w:spacing w:after="0" w:line="240" w:lineRule="auto"/>
        <w:jc w:val="both"/>
        <w:rPr>
          <w:rFonts w:ascii="Arial" w:hAnsi="Arial" w:cs="Arial"/>
          <w:b/>
          <w:color w:val="000000" w:themeColor="text1"/>
          <w:sz w:val="20"/>
          <w:szCs w:val="20"/>
          <w:lang w:val="en-GB"/>
        </w:rPr>
      </w:pPr>
    </w:p>
    <w:p w:rsidR="00CB5AAB" w:rsidRPr="001209DF" w:rsidRDefault="00CB5AAB" w:rsidP="00001F6A">
      <w:pPr>
        <w:spacing w:after="0" w:line="240" w:lineRule="auto"/>
        <w:jc w:val="both"/>
        <w:rPr>
          <w:rFonts w:ascii="Arial" w:hAnsi="Arial" w:cs="Arial"/>
          <w:color w:val="000000" w:themeColor="text1"/>
          <w:sz w:val="20"/>
          <w:szCs w:val="20"/>
          <w:shd w:val="clear" w:color="auto" w:fill="FFFFFF"/>
          <w:lang w:val="en-GB"/>
        </w:rPr>
      </w:pPr>
      <w:r w:rsidRPr="001209DF">
        <w:rPr>
          <w:rFonts w:ascii="Arial" w:hAnsi="Arial" w:cs="Arial"/>
          <w:color w:val="000000" w:themeColor="text1"/>
          <w:sz w:val="20"/>
          <w:szCs w:val="20"/>
          <w:lang w:val="en-GB"/>
        </w:rPr>
        <w:t xml:space="preserve">In the last analysis the Indian experience has shown that </w:t>
      </w:r>
      <w:r w:rsidRPr="00AF0071">
        <w:rPr>
          <w:rFonts w:ascii="Arial" w:hAnsi="Arial" w:cs="Arial"/>
          <w:b/>
          <w:color w:val="000000" w:themeColor="text1"/>
          <w:sz w:val="20"/>
          <w:szCs w:val="20"/>
          <w:lang w:val="en-GB"/>
        </w:rPr>
        <w:t>the statutory structure of guaranteeing rights in these special status states and autonomous areas has proved insufficient in withstanding the executive’s</w:t>
      </w:r>
      <w:r w:rsidRPr="00AF0071">
        <w:rPr>
          <w:rFonts w:ascii="Arial" w:hAnsi="Arial" w:cs="Arial"/>
          <w:b/>
          <w:color w:val="000000" w:themeColor="text1"/>
          <w:sz w:val="20"/>
          <w:szCs w:val="20"/>
          <w:shd w:val="clear" w:color="auto" w:fill="FFFFFF"/>
          <w:lang w:val="en-GB"/>
        </w:rPr>
        <w:t xml:space="preserve"> steady assault on the special autonomies and rights of the peoples</w:t>
      </w:r>
      <w:r w:rsidRPr="001209DF">
        <w:rPr>
          <w:rFonts w:ascii="Arial" w:hAnsi="Arial" w:cs="Arial"/>
          <w:color w:val="000000" w:themeColor="text1"/>
          <w:sz w:val="20"/>
          <w:szCs w:val="20"/>
          <w:shd w:val="clear" w:color="auto" w:fill="FFFFFF"/>
          <w:lang w:val="en-GB"/>
        </w:rPr>
        <w:t xml:space="preserve">. The judiciary and other human rights institutions have failed to effectively safeguard these rights against the centralizing national security state.  </w:t>
      </w:r>
    </w:p>
    <w:p w:rsidR="002D4572" w:rsidRDefault="002D4572" w:rsidP="00001F6A">
      <w:pPr>
        <w:spacing w:after="0" w:line="240" w:lineRule="auto"/>
        <w:jc w:val="both"/>
        <w:rPr>
          <w:rFonts w:ascii="Arial" w:hAnsi="Arial" w:cs="Arial"/>
          <w:color w:val="000000" w:themeColor="text1"/>
          <w:sz w:val="20"/>
          <w:szCs w:val="20"/>
          <w:shd w:val="clear" w:color="auto" w:fill="FFFFFF"/>
          <w:lang w:val="en-GB"/>
        </w:rPr>
      </w:pPr>
    </w:p>
    <w:p w:rsidR="00AF0071" w:rsidRDefault="00CB5AAB" w:rsidP="00001F6A">
      <w:pPr>
        <w:spacing w:after="0" w:line="240" w:lineRule="auto"/>
        <w:jc w:val="both"/>
        <w:rPr>
          <w:rStyle w:val="apple-converted-space"/>
          <w:rFonts w:ascii="Arial" w:hAnsi="Arial" w:cs="Arial"/>
          <w:color w:val="000000" w:themeColor="text1"/>
          <w:sz w:val="20"/>
          <w:szCs w:val="20"/>
          <w:shd w:val="clear" w:color="auto" w:fill="FFFFFF"/>
          <w:lang w:val="en-GB"/>
        </w:rPr>
      </w:pPr>
      <w:r w:rsidRPr="001209DF">
        <w:rPr>
          <w:rFonts w:ascii="Arial" w:hAnsi="Arial" w:cs="Arial"/>
          <w:color w:val="000000" w:themeColor="text1"/>
          <w:sz w:val="20"/>
          <w:szCs w:val="20"/>
          <w:shd w:val="clear" w:color="auto" w:fill="FFFFFF"/>
          <w:lang w:val="en-GB"/>
        </w:rPr>
        <w:t>A review of the Indian Supreme Court in defending fundamental rights and the constitutionality of security laws since 1980 asserted that “the Court failed to engage with constitutional standards when evaluating security laws. Thus, both the legislature and judiciary have endorsed the executive’s national security powers without fully engaging with the impact and import of these powers. Repeated endorsement has, in turn, eroded constitutional constraints – in particular, constitutional rights – in significant ways.</w:t>
      </w:r>
      <w:r w:rsidR="002D4572">
        <w:rPr>
          <w:rFonts w:ascii="Arial" w:hAnsi="Arial" w:cs="Arial"/>
          <w:color w:val="000000" w:themeColor="text1"/>
          <w:sz w:val="20"/>
          <w:szCs w:val="20"/>
          <w:shd w:val="clear" w:color="auto" w:fill="FFFFFF"/>
          <w:lang w:val="en-GB"/>
        </w:rPr>
        <w:t>”</w:t>
      </w:r>
      <w:r w:rsidRPr="001209DF">
        <w:rPr>
          <w:rStyle w:val="FootnoteReference"/>
          <w:rFonts w:ascii="Arial" w:hAnsi="Arial" w:cs="Arial"/>
          <w:color w:val="000000" w:themeColor="text1"/>
          <w:sz w:val="20"/>
          <w:szCs w:val="20"/>
          <w:shd w:val="clear" w:color="auto" w:fill="FFFFFF"/>
          <w:lang w:val="en-GB"/>
        </w:rPr>
        <w:footnoteReference w:id="32"/>
      </w:r>
      <w:r w:rsidR="00CD4144" w:rsidRPr="001209DF">
        <w:rPr>
          <w:rStyle w:val="apple-converted-space"/>
          <w:rFonts w:ascii="Arial" w:hAnsi="Arial" w:cs="Arial"/>
          <w:color w:val="000000" w:themeColor="text1"/>
          <w:sz w:val="20"/>
          <w:szCs w:val="20"/>
          <w:shd w:val="clear" w:color="auto" w:fill="FFFFFF"/>
          <w:lang w:val="en-GB"/>
        </w:rPr>
        <w:t xml:space="preserve"> This is especially so where geopolitics meets ethno</w:t>
      </w:r>
      <w:r w:rsidR="002D4572">
        <w:rPr>
          <w:rStyle w:val="apple-converted-space"/>
          <w:rFonts w:ascii="Arial" w:hAnsi="Arial" w:cs="Arial"/>
          <w:color w:val="000000" w:themeColor="text1"/>
          <w:sz w:val="20"/>
          <w:szCs w:val="20"/>
          <w:shd w:val="clear" w:color="auto" w:fill="FFFFFF"/>
          <w:lang w:val="en-GB"/>
        </w:rPr>
        <w:t>-</w:t>
      </w:r>
      <w:r w:rsidR="00CD4144" w:rsidRPr="001209DF">
        <w:rPr>
          <w:rStyle w:val="apple-converted-space"/>
          <w:rFonts w:ascii="Arial" w:hAnsi="Arial" w:cs="Arial"/>
          <w:color w:val="000000" w:themeColor="text1"/>
          <w:sz w:val="20"/>
          <w:szCs w:val="20"/>
          <w:shd w:val="clear" w:color="auto" w:fill="FFFFFF"/>
          <w:lang w:val="en-GB"/>
        </w:rPr>
        <w:t xml:space="preserve">politics in the border regions, the areas of special autonomies. </w:t>
      </w:r>
    </w:p>
    <w:p w:rsidR="00AF0071" w:rsidRDefault="00AF0071" w:rsidP="00001F6A">
      <w:pPr>
        <w:spacing w:after="0" w:line="240" w:lineRule="auto"/>
        <w:jc w:val="both"/>
        <w:rPr>
          <w:rStyle w:val="apple-converted-space"/>
          <w:rFonts w:ascii="Arial" w:hAnsi="Arial" w:cs="Arial"/>
          <w:color w:val="000000" w:themeColor="text1"/>
          <w:sz w:val="20"/>
          <w:szCs w:val="20"/>
          <w:shd w:val="clear" w:color="auto" w:fill="FFFFFF"/>
          <w:lang w:val="en-GB"/>
        </w:rPr>
      </w:pPr>
    </w:p>
    <w:p w:rsidR="004C2BAD" w:rsidRPr="001209DF" w:rsidRDefault="00CD4144" w:rsidP="00001F6A">
      <w:pPr>
        <w:spacing w:after="0" w:line="240" w:lineRule="auto"/>
        <w:jc w:val="both"/>
        <w:rPr>
          <w:rFonts w:ascii="Arial" w:hAnsi="Arial" w:cs="Arial"/>
          <w:color w:val="000000" w:themeColor="text1"/>
          <w:sz w:val="20"/>
          <w:szCs w:val="20"/>
          <w:shd w:val="clear" w:color="auto" w:fill="FFFFFF"/>
          <w:lang w:val="en-GB"/>
        </w:rPr>
      </w:pPr>
      <w:r w:rsidRPr="001209DF">
        <w:rPr>
          <w:rStyle w:val="apple-converted-space"/>
          <w:rFonts w:ascii="Arial" w:hAnsi="Arial" w:cs="Arial"/>
          <w:color w:val="000000" w:themeColor="text1"/>
          <w:sz w:val="20"/>
          <w:szCs w:val="20"/>
          <w:shd w:val="clear" w:color="auto" w:fill="FFFFFF"/>
          <w:lang w:val="en-GB"/>
        </w:rPr>
        <w:t>The Indian experience holds important lessons for the challenges</w:t>
      </w:r>
      <w:r w:rsidR="00BA4E7D" w:rsidRPr="001209DF">
        <w:rPr>
          <w:rStyle w:val="apple-converted-space"/>
          <w:rFonts w:ascii="Arial" w:hAnsi="Arial" w:cs="Arial"/>
          <w:color w:val="000000" w:themeColor="text1"/>
          <w:sz w:val="20"/>
          <w:szCs w:val="20"/>
          <w:shd w:val="clear" w:color="auto" w:fill="FFFFFF"/>
          <w:lang w:val="en-GB"/>
        </w:rPr>
        <w:t xml:space="preserve"> Morocco confronts in ensuring the possibility of fundamental freedoms and democratic rights in an autonomous Sahara region. </w:t>
      </w:r>
    </w:p>
    <w:p w:rsidR="004C2BAD" w:rsidRPr="001209DF" w:rsidRDefault="004C2BAD" w:rsidP="00001F6A">
      <w:pPr>
        <w:pStyle w:val="body"/>
        <w:shd w:val="clear" w:color="auto" w:fill="FFFFFF"/>
        <w:spacing w:before="0" w:beforeAutospacing="0" w:after="0" w:afterAutospacing="0"/>
        <w:jc w:val="both"/>
        <w:rPr>
          <w:rFonts w:ascii="Arial" w:hAnsi="Arial" w:cs="Arial"/>
          <w:color w:val="000000" w:themeColor="text1"/>
          <w:sz w:val="20"/>
          <w:szCs w:val="20"/>
          <w:lang w:val="en-GB"/>
        </w:rPr>
      </w:pPr>
    </w:p>
    <w:sectPr w:rsidR="004C2BAD" w:rsidRPr="001209DF" w:rsidSect="000871FA">
      <w:headerReference w:type="default" r:id="rId14"/>
      <w:endnotePr>
        <w:numFmt w:val="decimal"/>
      </w:endnotePr>
      <w:pgSz w:w="12240" w:h="15840"/>
      <w:pgMar w:top="1440" w:right="1134"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BA7" w:rsidRDefault="00943BA7" w:rsidP="00A5798A">
      <w:pPr>
        <w:spacing w:after="0" w:line="240" w:lineRule="auto"/>
      </w:pPr>
      <w:r>
        <w:separator/>
      </w:r>
    </w:p>
  </w:endnote>
  <w:endnote w:type="continuationSeparator" w:id="0">
    <w:p w:rsidR="00943BA7" w:rsidRDefault="00943BA7" w:rsidP="00A57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BA7" w:rsidRDefault="00943BA7" w:rsidP="00A5798A">
      <w:pPr>
        <w:spacing w:after="0" w:line="240" w:lineRule="auto"/>
      </w:pPr>
      <w:r>
        <w:separator/>
      </w:r>
    </w:p>
  </w:footnote>
  <w:footnote w:type="continuationSeparator" w:id="0">
    <w:p w:rsidR="00943BA7" w:rsidRDefault="00943BA7" w:rsidP="00A5798A">
      <w:pPr>
        <w:spacing w:after="0" w:line="240" w:lineRule="auto"/>
      </w:pPr>
      <w:r>
        <w:continuationSeparator/>
      </w:r>
    </w:p>
  </w:footnote>
  <w:footnote w:id="1">
    <w:p w:rsidR="00FA0CCB" w:rsidRPr="003261B8" w:rsidRDefault="00FA0CCB" w:rsidP="00CB5AAB">
      <w:pPr>
        <w:spacing w:after="0" w:line="240" w:lineRule="auto"/>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The author is </w:t>
      </w:r>
      <w:r w:rsidRPr="003261B8">
        <w:rPr>
          <w:rFonts w:cs="Arial"/>
          <w:color w:val="000000" w:themeColor="text1"/>
          <w:sz w:val="18"/>
          <w:szCs w:val="18"/>
          <w:lang w:val="en-GB"/>
        </w:rPr>
        <w:t xml:space="preserve">Research Director, South Asia Forum for Human Rights (SAFHR). </w:t>
      </w:r>
    </w:p>
  </w:footnote>
  <w:footnote w:id="2">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India’s Northeast (a cluster of seven states) is a region marked by separatist insurgencies that have spread like prairie fires from the Naga to Mizo hills, Manipur to Assam. Its remoteness is reinforced by its different ethnic-cultural and religious mosaic. Disaffection from the Indian state has given rise to popular ethno-nationalist mobilizations that challenge the state’s integrationist project. Alongside are fault lines of inter ethnic hill-valley conflicts, and competing bids for ethno-territorial homelands (</w:t>
      </w:r>
      <w:proofErr w:type="spellStart"/>
      <w:r w:rsidRPr="003261B8">
        <w:rPr>
          <w:color w:val="000000" w:themeColor="text1"/>
          <w:sz w:val="18"/>
          <w:szCs w:val="18"/>
          <w:lang w:val="en-GB"/>
        </w:rPr>
        <w:t>Subir</w:t>
      </w:r>
      <w:proofErr w:type="spellEnd"/>
      <w:r w:rsidRPr="003261B8">
        <w:rPr>
          <w:color w:val="000000" w:themeColor="text1"/>
          <w:sz w:val="18"/>
          <w:szCs w:val="18"/>
          <w:lang w:val="en-GB"/>
        </w:rPr>
        <w:t xml:space="preserve"> </w:t>
      </w:r>
      <w:proofErr w:type="spellStart"/>
      <w:r w:rsidRPr="003261B8">
        <w:rPr>
          <w:color w:val="000000" w:themeColor="text1"/>
          <w:sz w:val="18"/>
          <w:szCs w:val="18"/>
          <w:lang w:val="en-GB"/>
        </w:rPr>
        <w:t>Bhaumik</w:t>
      </w:r>
      <w:proofErr w:type="spellEnd"/>
      <w:r w:rsidRPr="003261B8">
        <w:rPr>
          <w:color w:val="000000" w:themeColor="text1"/>
          <w:sz w:val="18"/>
          <w:szCs w:val="18"/>
          <w:lang w:val="en-GB"/>
        </w:rPr>
        <w:t xml:space="preserve">, </w:t>
      </w:r>
      <w:r w:rsidRPr="003261B8">
        <w:rPr>
          <w:i/>
          <w:color w:val="000000" w:themeColor="text1"/>
          <w:sz w:val="18"/>
          <w:szCs w:val="18"/>
          <w:lang w:val="en-GB"/>
        </w:rPr>
        <w:t>Troubled Periphery</w:t>
      </w:r>
      <w:r w:rsidRPr="003261B8">
        <w:rPr>
          <w:color w:val="000000" w:themeColor="text1"/>
          <w:sz w:val="18"/>
          <w:szCs w:val="18"/>
          <w:lang w:val="en-GB"/>
        </w:rPr>
        <w:t>).</w:t>
      </w:r>
    </w:p>
  </w:footnote>
  <w:footnote w:id="3">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w:t>
      </w:r>
      <w:proofErr w:type="spellStart"/>
      <w:r w:rsidRPr="003261B8">
        <w:rPr>
          <w:color w:val="000000" w:themeColor="text1"/>
          <w:sz w:val="18"/>
          <w:szCs w:val="18"/>
          <w:lang w:val="en-GB"/>
        </w:rPr>
        <w:t>Ranabir</w:t>
      </w:r>
      <w:proofErr w:type="spellEnd"/>
      <w:r w:rsidRPr="003261B8">
        <w:rPr>
          <w:color w:val="000000" w:themeColor="text1"/>
          <w:sz w:val="18"/>
          <w:szCs w:val="18"/>
          <w:lang w:val="en-GB"/>
        </w:rPr>
        <w:t xml:space="preserve"> </w:t>
      </w:r>
      <w:proofErr w:type="spellStart"/>
      <w:r w:rsidRPr="003261B8">
        <w:rPr>
          <w:color w:val="000000" w:themeColor="text1"/>
          <w:sz w:val="18"/>
          <w:szCs w:val="18"/>
          <w:lang w:val="en-GB"/>
        </w:rPr>
        <w:t>Samaddar</w:t>
      </w:r>
      <w:proofErr w:type="spellEnd"/>
      <w:r w:rsidRPr="003261B8">
        <w:rPr>
          <w:color w:val="000000" w:themeColor="text1"/>
          <w:sz w:val="18"/>
          <w:szCs w:val="18"/>
          <w:lang w:val="en-GB"/>
        </w:rPr>
        <w:t xml:space="preserve"> (2005) </w:t>
      </w:r>
      <w:proofErr w:type="gramStart"/>
      <w:r w:rsidRPr="003261B8">
        <w:rPr>
          <w:color w:val="000000" w:themeColor="text1"/>
          <w:sz w:val="18"/>
          <w:szCs w:val="18"/>
          <w:lang w:val="en-GB"/>
        </w:rPr>
        <w:t>ed</w:t>
      </w:r>
      <w:proofErr w:type="gramEnd"/>
      <w:r w:rsidRPr="003261B8">
        <w:rPr>
          <w:color w:val="000000" w:themeColor="text1"/>
          <w:sz w:val="18"/>
          <w:szCs w:val="18"/>
          <w:lang w:val="en-GB"/>
        </w:rPr>
        <w:t xml:space="preserve">. </w:t>
      </w:r>
      <w:r w:rsidRPr="003261B8">
        <w:rPr>
          <w:i/>
          <w:color w:val="000000" w:themeColor="text1"/>
          <w:sz w:val="18"/>
          <w:szCs w:val="18"/>
          <w:lang w:val="en-GB"/>
        </w:rPr>
        <w:t>The Politics of Autonomy: Indian Experiences</w:t>
      </w:r>
      <w:r w:rsidRPr="003261B8">
        <w:rPr>
          <w:color w:val="000000" w:themeColor="text1"/>
          <w:sz w:val="18"/>
          <w:szCs w:val="18"/>
          <w:lang w:val="en-GB"/>
        </w:rPr>
        <w:t xml:space="preserve">, New Delhi, Sage Publishers. </w:t>
      </w:r>
    </w:p>
  </w:footnote>
  <w:footnote w:id="4">
    <w:p w:rsidR="00FA0CCB" w:rsidRPr="003261B8" w:rsidRDefault="00FA0CCB" w:rsidP="00CB5AAB">
      <w:pPr>
        <w:pStyle w:val="FootnoteText"/>
        <w:jc w:val="both"/>
        <w:rPr>
          <w:color w:val="000000" w:themeColor="text1"/>
          <w:sz w:val="18"/>
          <w:szCs w:val="18"/>
          <w:lang w:val="fr-CH"/>
        </w:rPr>
      </w:pPr>
      <w:r w:rsidRPr="003261B8">
        <w:rPr>
          <w:rStyle w:val="FootnoteReference"/>
          <w:color w:val="000000" w:themeColor="text1"/>
          <w:sz w:val="18"/>
          <w:szCs w:val="18"/>
          <w:lang w:val="en-GB"/>
        </w:rPr>
        <w:footnoteRef/>
      </w:r>
      <w:r w:rsidRPr="003261B8">
        <w:rPr>
          <w:color w:val="000000" w:themeColor="text1"/>
          <w:sz w:val="18"/>
          <w:szCs w:val="18"/>
          <w:lang w:val="fr-CH"/>
        </w:rPr>
        <w:t xml:space="preserve"> A G Noorani (2000), “Article 370 », </w:t>
      </w:r>
      <w:r w:rsidRPr="003261B8">
        <w:rPr>
          <w:i/>
          <w:color w:val="000000" w:themeColor="text1"/>
          <w:sz w:val="18"/>
          <w:szCs w:val="18"/>
          <w:lang w:val="fr-CH"/>
        </w:rPr>
        <w:t>Frontline Magazine</w:t>
      </w:r>
      <w:r w:rsidRPr="003261B8">
        <w:rPr>
          <w:color w:val="000000" w:themeColor="text1"/>
          <w:sz w:val="18"/>
          <w:szCs w:val="18"/>
          <w:lang w:val="fr-CH"/>
        </w:rPr>
        <w:t>, 16 September 2000.</w:t>
      </w:r>
    </w:p>
  </w:footnote>
  <w:footnote w:id="5">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Rita Manchanda, </w:t>
      </w:r>
      <w:proofErr w:type="spellStart"/>
      <w:r w:rsidRPr="003261B8">
        <w:rPr>
          <w:color w:val="000000" w:themeColor="text1"/>
          <w:sz w:val="18"/>
          <w:szCs w:val="18"/>
          <w:lang w:val="en-GB"/>
        </w:rPr>
        <w:t>Tapan</w:t>
      </w:r>
      <w:proofErr w:type="spellEnd"/>
      <w:r w:rsidRPr="003261B8">
        <w:rPr>
          <w:color w:val="000000" w:themeColor="text1"/>
          <w:sz w:val="18"/>
          <w:szCs w:val="18"/>
          <w:lang w:val="en-GB"/>
        </w:rPr>
        <w:t xml:space="preserve"> K Bose </w:t>
      </w:r>
      <w:proofErr w:type="spellStart"/>
      <w:r w:rsidRPr="003261B8">
        <w:rPr>
          <w:color w:val="000000" w:themeColor="text1"/>
          <w:sz w:val="18"/>
          <w:szCs w:val="18"/>
          <w:lang w:val="en-GB"/>
        </w:rPr>
        <w:t>Sajal</w:t>
      </w:r>
      <w:proofErr w:type="spellEnd"/>
      <w:r w:rsidRPr="003261B8">
        <w:rPr>
          <w:color w:val="000000" w:themeColor="text1"/>
          <w:sz w:val="18"/>
          <w:szCs w:val="18"/>
          <w:lang w:val="en-GB"/>
        </w:rPr>
        <w:t xml:space="preserve"> Nag (2015) </w:t>
      </w:r>
      <w:r w:rsidRPr="003261B8">
        <w:rPr>
          <w:i/>
          <w:color w:val="000000" w:themeColor="text1"/>
          <w:sz w:val="18"/>
          <w:szCs w:val="18"/>
          <w:lang w:val="en-GB"/>
        </w:rPr>
        <w:t>Bridging State and Nation: Peace Accords in India’s Northeast</w:t>
      </w:r>
      <w:r w:rsidRPr="003261B8">
        <w:rPr>
          <w:color w:val="000000" w:themeColor="text1"/>
          <w:sz w:val="18"/>
          <w:szCs w:val="18"/>
          <w:lang w:val="en-GB"/>
        </w:rPr>
        <w:t xml:space="preserve">, Sage Series in Human Rights Audits of Peace Processes, </w:t>
      </w:r>
      <w:proofErr w:type="spellStart"/>
      <w:r w:rsidRPr="003261B8">
        <w:rPr>
          <w:color w:val="000000" w:themeColor="text1"/>
          <w:sz w:val="18"/>
          <w:szCs w:val="18"/>
          <w:lang w:val="en-GB"/>
        </w:rPr>
        <w:t>vol</w:t>
      </w:r>
      <w:proofErr w:type="spellEnd"/>
      <w:r w:rsidRPr="003261B8">
        <w:rPr>
          <w:color w:val="000000" w:themeColor="text1"/>
          <w:sz w:val="18"/>
          <w:szCs w:val="18"/>
          <w:lang w:val="en-GB"/>
        </w:rPr>
        <w:t xml:space="preserve"> 2, New Delhi, Sage Publishers.</w:t>
      </w:r>
    </w:p>
  </w:footnote>
  <w:footnote w:id="6">
    <w:p w:rsidR="00FA0CCB" w:rsidRPr="003261B8" w:rsidRDefault="00FA0CCB" w:rsidP="00CB5AAB">
      <w:pPr>
        <w:pStyle w:val="FootnoteText"/>
        <w:jc w:val="both"/>
        <w:rPr>
          <w:color w:val="000000" w:themeColor="text1"/>
          <w:sz w:val="18"/>
          <w:szCs w:val="18"/>
          <w:shd w:val="clear" w:color="auto" w:fill="FFFFFF"/>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w:t>
      </w:r>
      <w:r w:rsidRPr="003261B8">
        <w:rPr>
          <w:color w:val="000000" w:themeColor="text1"/>
          <w:sz w:val="18"/>
          <w:szCs w:val="18"/>
          <w:shd w:val="clear" w:color="auto" w:fill="FFFFFF"/>
          <w:lang w:val="en-GB"/>
        </w:rPr>
        <w:t>The</w:t>
      </w:r>
      <w:r w:rsidRPr="003261B8">
        <w:rPr>
          <w:rStyle w:val="apple-converted-space"/>
          <w:color w:val="000000" w:themeColor="text1"/>
          <w:sz w:val="18"/>
          <w:szCs w:val="18"/>
          <w:shd w:val="clear" w:color="auto" w:fill="FFFFFF"/>
          <w:lang w:val="en-GB"/>
        </w:rPr>
        <w:t xml:space="preserve"> </w:t>
      </w:r>
      <w:r w:rsidRPr="003261B8">
        <w:rPr>
          <w:bCs/>
          <w:color w:val="000000" w:themeColor="text1"/>
          <w:sz w:val="18"/>
          <w:szCs w:val="18"/>
          <w:shd w:val="clear" w:color="auto" w:fill="FFFFFF"/>
          <w:lang w:val="en-GB"/>
        </w:rPr>
        <w:t>Armed Forces (Special Powers) Act</w:t>
      </w:r>
      <w:r w:rsidRPr="003261B8">
        <w:rPr>
          <w:rStyle w:val="apple-converted-space"/>
          <w:color w:val="000000" w:themeColor="text1"/>
          <w:sz w:val="18"/>
          <w:szCs w:val="18"/>
          <w:shd w:val="clear" w:color="auto" w:fill="FFFFFF"/>
          <w:lang w:val="en-GB"/>
        </w:rPr>
        <w:t xml:space="preserve"> </w:t>
      </w:r>
      <w:r w:rsidRPr="003261B8">
        <w:rPr>
          <w:color w:val="000000" w:themeColor="text1"/>
          <w:sz w:val="18"/>
          <w:szCs w:val="18"/>
          <w:shd w:val="clear" w:color="auto" w:fill="FFFFFF"/>
          <w:lang w:val="en-GB"/>
        </w:rPr>
        <w:t>(</w:t>
      </w:r>
      <w:r w:rsidRPr="003261B8">
        <w:rPr>
          <w:bCs/>
          <w:color w:val="000000" w:themeColor="text1"/>
          <w:sz w:val="18"/>
          <w:szCs w:val="18"/>
          <w:shd w:val="clear" w:color="auto" w:fill="FFFFFF"/>
          <w:lang w:val="en-GB"/>
        </w:rPr>
        <w:t>AFSPA</w:t>
      </w:r>
      <w:r w:rsidRPr="003261B8">
        <w:rPr>
          <w:color w:val="000000" w:themeColor="text1"/>
          <w:sz w:val="18"/>
          <w:szCs w:val="18"/>
          <w:shd w:val="clear" w:color="auto" w:fill="FFFFFF"/>
          <w:lang w:val="en-GB"/>
        </w:rPr>
        <w:t xml:space="preserve">) (1958) grants special powers in what are termed "disturbed areas". It was introduced as a legally enabling framework for the army and para-military forces to combat insurgency in Nagaland and since has been extended to the Northeast and Jammu and Kashmir is at the root of the culture of impunity. The fourth and sixth sections of the Act enable security forces to “fire upon or otherwise use force, even to the causing of death” and ensures no criminal prosecution against any person who has taken action under this act without prior sanction.  </w:t>
      </w:r>
    </w:p>
  </w:footnote>
  <w:footnote w:id="7">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See: Rita Manchanda &amp; </w:t>
      </w:r>
      <w:proofErr w:type="spellStart"/>
      <w:r w:rsidRPr="003261B8">
        <w:rPr>
          <w:color w:val="000000" w:themeColor="text1"/>
          <w:sz w:val="18"/>
          <w:szCs w:val="18"/>
          <w:lang w:val="en-GB"/>
        </w:rPr>
        <w:t>Tapan</w:t>
      </w:r>
      <w:proofErr w:type="spellEnd"/>
      <w:r w:rsidRPr="003261B8">
        <w:rPr>
          <w:color w:val="000000" w:themeColor="text1"/>
          <w:sz w:val="18"/>
          <w:szCs w:val="18"/>
          <w:lang w:val="en-GB"/>
        </w:rPr>
        <w:t xml:space="preserve"> K Bose (2015) “Endgame in the Naga Peace Process” in Manchanda, Bose, Nag, </w:t>
      </w:r>
      <w:r w:rsidRPr="003261B8">
        <w:rPr>
          <w:i/>
          <w:color w:val="000000" w:themeColor="text1"/>
          <w:sz w:val="18"/>
          <w:szCs w:val="18"/>
          <w:lang w:val="en-GB"/>
        </w:rPr>
        <w:t>Bridging State and Nation: Peace Accords in India’s Northeast</w:t>
      </w:r>
      <w:r w:rsidRPr="003261B8">
        <w:rPr>
          <w:color w:val="000000" w:themeColor="text1"/>
          <w:sz w:val="18"/>
          <w:szCs w:val="18"/>
          <w:lang w:val="en-GB"/>
        </w:rPr>
        <w:t xml:space="preserve">, Sage Series in Human Rights Audits of Peace Processes, </w:t>
      </w:r>
      <w:proofErr w:type="spellStart"/>
      <w:r w:rsidRPr="003261B8">
        <w:rPr>
          <w:color w:val="000000" w:themeColor="text1"/>
          <w:sz w:val="18"/>
          <w:szCs w:val="18"/>
          <w:lang w:val="en-GB"/>
        </w:rPr>
        <w:t>vol</w:t>
      </w:r>
      <w:proofErr w:type="spellEnd"/>
      <w:r w:rsidRPr="003261B8">
        <w:rPr>
          <w:color w:val="000000" w:themeColor="text1"/>
          <w:sz w:val="18"/>
          <w:szCs w:val="18"/>
          <w:lang w:val="en-GB"/>
        </w:rPr>
        <w:t xml:space="preserve"> 2, New Delhi, Sage Publishers, pp 35-121; </w:t>
      </w:r>
      <w:proofErr w:type="spellStart"/>
      <w:r w:rsidRPr="003261B8">
        <w:rPr>
          <w:color w:val="000000" w:themeColor="text1"/>
          <w:sz w:val="18"/>
          <w:szCs w:val="18"/>
          <w:lang w:val="en-GB"/>
        </w:rPr>
        <w:t>Sanjib</w:t>
      </w:r>
      <w:proofErr w:type="spellEnd"/>
      <w:r w:rsidRPr="003261B8">
        <w:rPr>
          <w:color w:val="000000" w:themeColor="text1"/>
          <w:sz w:val="18"/>
          <w:szCs w:val="18"/>
          <w:lang w:val="en-GB"/>
        </w:rPr>
        <w:t xml:space="preserve"> </w:t>
      </w:r>
      <w:proofErr w:type="spellStart"/>
      <w:r w:rsidRPr="003261B8">
        <w:rPr>
          <w:color w:val="000000" w:themeColor="text1"/>
          <w:sz w:val="18"/>
          <w:szCs w:val="18"/>
          <w:lang w:val="en-GB"/>
        </w:rPr>
        <w:t>Baruah</w:t>
      </w:r>
      <w:proofErr w:type="spellEnd"/>
      <w:r w:rsidRPr="003261B8">
        <w:rPr>
          <w:color w:val="000000" w:themeColor="text1"/>
          <w:sz w:val="18"/>
          <w:szCs w:val="18"/>
          <w:lang w:val="en-GB"/>
        </w:rPr>
        <w:t xml:space="preserve"> (2010) “Confronting Constructionism: Ending the Naga War” in </w:t>
      </w:r>
      <w:proofErr w:type="spellStart"/>
      <w:r w:rsidRPr="003261B8">
        <w:rPr>
          <w:i/>
          <w:color w:val="000000" w:themeColor="text1"/>
          <w:sz w:val="18"/>
          <w:szCs w:val="18"/>
          <w:lang w:val="en-GB"/>
        </w:rPr>
        <w:t>Ethnonationalism</w:t>
      </w:r>
      <w:proofErr w:type="spellEnd"/>
      <w:r w:rsidRPr="003261B8">
        <w:rPr>
          <w:i/>
          <w:color w:val="000000" w:themeColor="text1"/>
          <w:sz w:val="18"/>
          <w:szCs w:val="18"/>
          <w:lang w:val="en-GB"/>
        </w:rPr>
        <w:t xml:space="preserve"> in India</w:t>
      </w:r>
      <w:r w:rsidRPr="003261B8">
        <w:rPr>
          <w:color w:val="000000" w:themeColor="text1"/>
          <w:sz w:val="18"/>
          <w:szCs w:val="18"/>
          <w:lang w:val="en-GB"/>
        </w:rPr>
        <w:t xml:space="preserve">: </w:t>
      </w:r>
      <w:r w:rsidRPr="003261B8">
        <w:rPr>
          <w:i/>
          <w:color w:val="000000" w:themeColor="text1"/>
          <w:sz w:val="18"/>
          <w:szCs w:val="18"/>
          <w:lang w:val="en-GB"/>
        </w:rPr>
        <w:t xml:space="preserve">A Reader , </w:t>
      </w:r>
      <w:r w:rsidRPr="003261B8">
        <w:rPr>
          <w:color w:val="000000" w:themeColor="text1"/>
          <w:sz w:val="18"/>
          <w:szCs w:val="18"/>
          <w:lang w:val="en-GB"/>
        </w:rPr>
        <w:t xml:space="preserve">edited by </w:t>
      </w:r>
      <w:proofErr w:type="spellStart"/>
      <w:r w:rsidRPr="003261B8">
        <w:rPr>
          <w:color w:val="000000" w:themeColor="text1"/>
          <w:sz w:val="18"/>
          <w:szCs w:val="18"/>
          <w:lang w:val="en-GB"/>
        </w:rPr>
        <w:t>Baruah</w:t>
      </w:r>
      <w:proofErr w:type="spellEnd"/>
      <w:r w:rsidRPr="003261B8">
        <w:rPr>
          <w:color w:val="000000" w:themeColor="text1"/>
          <w:sz w:val="18"/>
          <w:szCs w:val="18"/>
          <w:lang w:val="en-GB"/>
        </w:rPr>
        <w:t xml:space="preserve">, New Delhi Oxford University Press, pp 239-262. </w:t>
      </w:r>
    </w:p>
  </w:footnote>
  <w:footnote w:id="8">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w:t>
      </w:r>
      <w:proofErr w:type="spellStart"/>
      <w:r w:rsidRPr="003261B8">
        <w:rPr>
          <w:color w:val="000000" w:themeColor="text1"/>
          <w:sz w:val="18"/>
          <w:szCs w:val="18"/>
          <w:lang w:val="en-GB"/>
        </w:rPr>
        <w:t>Sanjib</w:t>
      </w:r>
      <w:proofErr w:type="spellEnd"/>
      <w:r w:rsidRPr="003261B8">
        <w:rPr>
          <w:color w:val="000000" w:themeColor="text1"/>
          <w:sz w:val="18"/>
          <w:szCs w:val="18"/>
          <w:lang w:val="en-GB"/>
        </w:rPr>
        <w:t xml:space="preserve"> </w:t>
      </w:r>
      <w:proofErr w:type="spellStart"/>
      <w:r w:rsidRPr="003261B8">
        <w:rPr>
          <w:color w:val="000000" w:themeColor="text1"/>
          <w:sz w:val="18"/>
          <w:szCs w:val="18"/>
          <w:lang w:val="en-GB"/>
        </w:rPr>
        <w:t>Baruah</w:t>
      </w:r>
      <w:proofErr w:type="spellEnd"/>
      <w:r w:rsidRPr="003261B8">
        <w:rPr>
          <w:color w:val="000000" w:themeColor="text1"/>
          <w:sz w:val="18"/>
          <w:szCs w:val="18"/>
          <w:lang w:val="en-GB"/>
        </w:rPr>
        <w:t xml:space="preserve"> (2005), </w:t>
      </w:r>
      <w:r w:rsidRPr="003261B8">
        <w:rPr>
          <w:i/>
          <w:color w:val="000000" w:themeColor="text1"/>
          <w:sz w:val="18"/>
          <w:szCs w:val="18"/>
          <w:lang w:val="en-GB"/>
        </w:rPr>
        <w:t xml:space="preserve">Durable Disorder: Understanding the Politics of Northeast India, </w:t>
      </w:r>
      <w:r w:rsidRPr="003261B8">
        <w:rPr>
          <w:color w:val="000000" w:themeColor="text1"/>
          <w:sz w:val="18"/>
          <w:szCs w:val="18"/>
          <w:lang w:val="en-GB"/>
        </w:rPr>
        <w:t xml:space="preserve">New Delhi, </w:t>
      </w:r>
      <w:proofErr w:type="gramStart"/>
      <w:r w:rsidRPr="003261B8">
        <w:rPr>
          <w:color w:val="000000" w:themeColor="text1"/>
          <w:sz w:val="18"/>
          <w:szCs w:val="18"/>
          <w:lang w:val="en-GB"/>
        </w:rPr>
        <w:t>Oxford</w:t>
      </w:r>
      <w:proofErr w:type="gramEnd"/>
      <w:r w:rsidRPr="003261B8">
        <w:rPr>
          <w:color w:val="000000" w:themeColor="text1"/>
          <w:sz w:val="18"/>
          <w:szCs w:val="18"/>
          <w:lang w:val="en-GB"/>
        </w:rPr>
        <w:t xml:space="preserve"> University Press.  </w:t>
      </w:r>
    </w:p>
  </w:footnote>
  <w:footnote w:id="9">
    <w:p w:rsidR="00FA0CCB" w:rsidRPr="003261B8" w:rsidRDefault="00FA0CCB">
      <w:pPr>
        <w:pStyle w:val="FootnoteText"/>
        <w:rPr>
          <w:sz w:val="18"/>
          <w:szCs w:val="18"/>
        </w:rPr>
      </w:pPr>
      <w:r w:rsidRPr="003261B8">
        <w:rPr>
          <w:rStyle w:val="FootnoteReference"/>
          <w:sz w:val="18"/>
          <w:szCs w:val="18"/>
        </w:rPr>
        <w:footnoteRef/>
      </w:r>
      <w:r w:rsidRPr="003261B8">
        <w:rPr>
          <w:sz w:val="18"/>
          <w:szCs w:val="18"/>
        </w:rPr>
        <w:t xml:space="preserve"> </w:t>
      </w:r>
      <w:r w:rsidRPr="003261B8">
        <w:rPr>
          <w:color w:val="FF0000"/>
          <w:sz w:val="18"/>
          <w:szCs w:val="18"/>
        </w:rPr>
        <w:t>United Nations Security Council Document 2007/206 of 13 April 2007.</w:t>
      </w:r>
    </w:p>
  </w:footnote>
  <w:footnote w:id="10">
    <w:p w:rsidR="00FA0CCB" w:rsidRPr="003261B8" w:rsidRDefault="00FA0CCB" w:rsidP="00CB5AAB">
      <w:pPr>
        <w:shd w:val="clear" w:color="auto" w:fill="FFFFFF"/>
        <w:spacing w:after="0" w:line="240" w:lineRule="auto"/>
        <w:jc w:val="both"/>
        <w:rPr>
          <w:color w:val="000000" w:themeColor="text1"/>
          <w:sz w:val="18"/>
          <w:szCs w:val="18"/>
          <w:lang w:val="en-GB"/>
        </w:rPr>
      </w:pPr>
      <w:r w:rsidRPr="003261B8">
        <w:rPr>
          <w:rStyle w:val="FootnoteReference"/>
          <w:rFonts w:cstheme="minorHAnsi"/>
          <w:color w:val="000000" w:themeColor="text1"/>
          <w:sz w:val="18"/>
          <w:szCs w:val="18"/>
          <w:lang w:val="en-GB"/>
        </w:rPr>
        <w:footnoteRef/>
      </w:r>
      <w:r w:rsidRPr="003261B8">
        <w:rPr>
          <w:rFonts w:cstheme="minorHAnsi"/>
          <w:color w:val="000000" w:themeColor="text1"/>
          <w:sz w:val="18"/>
          <w:szCs w:val="18"/>
          <w:lang w:val="en-GB"/>
        </w:rPr>
        <w:t xml:space="preserve"> Many governments prohibit NGOs especially those receiving foreign funds from engaging in ‘political activity’; but what does constitute legitimate political action by NGOs? Do </w:t>
      </w:r>
      <w:r w:rsidRPr="003261B8">
        <w:rPr>
          <w:rFonts w:cstheme="minorHAnsi"/>
          <w:color w:val="000000" w:themeColor="text1"/>
          <w:sz w:val="18"/>
          <w:szCs w:val="18"/>
          <w:shd w:val="clear" w:color="auto" w:fill="FFFFFF"/>
          <w:lang w:val="en-GB"/>
        </w:rPr>
        <w:t xml:space="preserve">advocacy </w:t>
      </w:r>
      <w:r w:rsidRPr="003261B8">
        <w:rPr>
          <w:rFonts w:cstheme="minorHAnsi"/>
          <w:color w:val="000000" w:themeColor="text1"/>
          <w:sz w:val="18"/>
          <w:szCs w:val="18"/>
          <w:lang w:val="en-GB"/>
        </w:rPr>
        <w:t xml:space="preserve">campaigns for enactment of new laws come under “political activity”? Do campaigns against selected political parties in the name of “combating communalism” constitute political activity?  </w:t>
      </w:r>
    </w:p>
  </w:footnote>
  <w:footnote w:id="11">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Crawford Young (1994) </w:t>
      </w:r>
      <w:r w:rsidRPr="003261B8">
        <w:rPr>
          <w:i/>
          <w:color w:val="000000" w:themeColor="text1"/>
          <w:sz w:val="18"/>
          <w:szCs w:val="18"/>
          <w:lang w:val="en-GB"/>
        </w:rPr>
        <w:t>The African Colonial State in Comparative Perspective</w:t>
      </w:r>
      <w:r w:rsidRPr="003261B8">
        <w:rPr>
          <w:color w:val="000000" w:themeColor="text1"/>
          <w:sz w:val="18"/>
          <w:szCs w:val="18"/>
          <w:lang w:val="en-GB"/>
        </w:rPr>
        <w:t>, New haven, Yale University Press, 48.</w:t>
      </w:r>
    </w:p>
  </w:footnote>
  <w:footnote w:id="12">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Catherine Barnes (2005 ), </w:t>
      </w:r>
      <w:r w:rsidRPr="003261B8">
        <w:rPr>
          <w:i/>
          <w:color w:val="000000" w:themeColor="text1"/>
          <w:sz w:val="18"/>
          <w:szCs w:val="18"/>
          <w:lang w:val="en-GB"/>
        </w:rPr>
        <w:t>Agents for Change: Civil Society Roles In Preventing War &amp; Peacebuilding</w:t>
      </w:r>
      <w:r w:rsidRPr="003261B8">
        <w:rPr>
          <w:color w:val="000000" w:themeColor="text1"/>
          <w:sz w:val="18"/>
          <w:szCs w:val="18"/>
          <w:lang w:val="en-GB"/>
        </w:rPr>
        <w:t xml:space="preserve">, European Centre For Conflict Prevention, The Hague; Rita Manchanda &amp; </w:t>
      </w:r>
      <w:proofErr w:type="spellStart"/>
      <w:r w:rsidRPr="003261B8">
        <w:rPr>
          <w:color w:val="000000" w:themeColor="text1"/>
          <w:sz w:val="18"/>
          <w:szCs w:val="18"/>
          <w:lang w:val="en-GB"/>
        </w:rPr>
        <w:t>Tapan</w:t>
      </w:r>
      <w:proofErr w:type="spellEnd"/>
      <w:r w:rsidRPr="003261B8">
        <w:rPr>
          <w:color w:val="000000" w:themeColor="text1"/>
          <w:sz w:val="18"/>
          <w:szCs w:val="18"/>
          <w:lang w:val="en-GB"/>
        </w:rPr>
        <w:t xml:space="preserve"> K Bose (2015), </w:t>
      </w:r>
      <w:r w:rsidRPr="003261B8">
        <w:rPr>
          <w:i/>
          <w:color w:val="000000" w:themeColor="text1"/>
          <w:sz w:val="18"/>
          <w:szCs w:val="18"/>
          <w:lang w:val="en-GB"/>
        </w:rPr>
        <w:t>Making War Making Peace: Conflict Resolution in South Asia</w:t>
      </w:r>
      <w:r w:rsidRPr="003261B8">
        <w:rPr>
          <w:color w:val="000000" w:themeColor="text1"/>
          <w:sz w:val="18"/>
          <w:szCs w:val="18"/>
          <w:lang w:val="en-GB"/>
        </w:rPr>
        <w:t xml:space="preserve">, Sage Series in Human Rights Audits of Peace Processes, </w:t>
      </w:r>
      <w:proofErr w:type="spellStart"/>
      <w:r w:rsidRPr="003261B8">
        <w:rPr>
          <w:color w:val="000000" w:themeColor="text1"/>
          <w:sz w:val="18"/>
          <w:szCs w:val="18"/>
          <w:lang w:val="en-GB"/>
        </w:rPr>
        <w:t>vol</w:t>
      </w:r>
      <w:proofErr w:type="spellEnd"/>
      <w:r w:rsidRPr="003261B8">
        <w:rPr>
          <w:color w:val="000000" w:themeColor="text1"/>
          <w:sz w:val="18"/>
          <w:szCs w:val="18"/>
          <w:lang w:val="en-GB"/>
        </w:rPr>
        <w:t xml:space="preserve"> 1, New Delhi, Sage, Publishers, pp 119-141.</w:t>
      </w:r>
    </w:p>
  </w:footnote>
  <w:footnote w:id="13">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Samir Das (2007), Conflict &amp; Peace in India’s Northeast: The Role of Civil Society”, </w:t>
      </w:r>
      <w:r w:rsidRPr="003261B8">
        <w:rPr>
          <w:i/>
          <w:color w:val="000000" w:themeColor="text1"/>
          <w:sz w:val="18"/>
          <w:szCs w:val="18"/>
          <w:lang w:val="en-GB"/>
        </w:rPr>
        <w:t>Policy Studies</w:t>
      </w:r>
      <w:r w:rsidRPr="003261B8">
        <w:rPr>
          <w:color w:val="000000" w:themeColor="text1"/>
          <w:sz w:val="18"/>
          <w:szCs w:val="18"/>
          <w:lang w:val="en-GB"/>
        </w:rPr>
        <w:t xml:space="preserve"> 42, East West Centre, Hawaii.</w:t>
      </w:r>
    </w:p>
  </w:footnote>
  <w:footnote w:id="14">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w:t>
      </w:r>
      <w:proofErr w:type="spellStart"/>
      <w:r w:rsidRPr="003261B8">
        <w:rPr>
          <w:rFonts w:cstheme="minorHAnsi"/>
          <w:color w:val="000000" w:themeColor="text1"/>
          <w:sz w:val="18"/>
          <w:szCs w:val="18"/>
          <w:lang w:val="en-GB"/>
        </w:rPr>
        <w:t>Priti</w:t>
      </w:r>
      <w:proofErr w:type="spellEnd"/>
      <w:r w:rsidRPr="003261B8">
        <w:rPr>
          <w:rFonts w:cstheme="minorHAnsi"/>
          <w:color w:val="000000" w:themeColor="text1"/>
          <w:sz w:val="18"/>
          <w:szCs w:val="18"/>
          <w:lang w:val="en-GB"/>
        </w:rPr>
        <w:t xml:space="preserve"> </w:t>
      </w:r>
      <w:proofErr w:type="spellStart"/>
      <w:r w:rsidRPr="003261B8">
        <w:rPr>
          <w:rFonts w:cstheme="minorHAnsi"/>
          <w:color w:val="000000" w:themeColor="text1"/>
          <w:sz w:val="18"/>
          <w:szCs w:val="18"/>
          <w:lang w:val="en-GB"/>
        </w:rPr>
        <w:t>Mehrotra</w:t>
      </w:r>
      <w:proofErr w:type="spellEnd"/>
      <w:r w:rsidRPr="003261B8">
        <w:rPr>
          <w:rFonts w:cstheme="minorHAnsi"/>
          <w:color w:val="000000" w:themeColor="text1"/>
          <w:sz w:val="18"/>
          <w:szCs w:val="18"/>
          <w:lang w:val="en-GB"/>
        </w:rPr>
        <w:t xml:space="preserve"> (2009), </w:t>
      </w:r>
      <w:r w:rsidRPr="003261B8">
        <w:rPr>
          <w:rFonts w:cstheme="minorHAnsi"/>
          <w:i/>
          <w:color w:val="000000" w:themeColor="text1"/>
          <w:sz w:val="18"/>
          <w:szCs w:val="18"/>
          <w:lang w:val="en-GB"/>
        </w:rPr>
        <w:t xml:space="preserve">Burning Bright: </w:t>
      </w:r>
      <w:proofErr w:type="spellStart"/>
      <w:r w:rsidRPr="003261B8">
        <w:rPr>
          <w:rFonts w:cstheme="minorHAnsi"/>
          <w:i/>
          <w:color w:val="000000" w:themeColor="text1"/>
          <w:sz w:val="18"/>
          <w:szCs w:val="18"/>
          <w:lang w:val="en-GB"/>
        </w:rPr>
        <w:t>Irom</w:t>
      </w:r>
      <w:proofErr w:type="spellEnd"/>
      <w:r w:rsidRPr="003261B8">
        <w:rPr>
          <w:rFonts w:cstheme="minorHAnsi"/>
          <w:i/>
          <w:color w:val="000000" w:themeColor="text1"/>
          <w:sz w:val="18"/>
          <w:szCs w:val="18"/>
          <w:lang w:val="en-GB"/>
        </w:rPr>
        <w:t xml:space="preserve"> </w:t>
      </w:r>
      <w:proofErr w:type="spellStart"/>
      <w:r w:rsidRPr="003261B8">
        <w:rPr>
          <w:rFonts w:cstheme="minorHAnsi"/>
          <w:i/>
          <w:color w:val="000000" w:themeColor="text1"/>
          <w:sz w:val="18"/>
          <w:szCs w:val="18"/>
          <w:lang w:val="en-GB"/>
        </w:rPr>
        <w:t>Sharmila</w:t>
      </w:r>
      <w:proofErr w:type="spellEnd"/>
      <w:r w:rsidRPr="003261B8">
        <w:rPr>
          <w:rFonts w:cstheme="minorHAnsi"/>
          <w:color w:val="000000" w:themeColor="text1"/>
          <w:sz w:val="18"/>
          <w:szCs w:val="18"/>
          <w:lang w:val="en-GB"/>
        </w:rPr>
        <w:t xml:space="preserve">, New Delhi, Penguin.  </w:t>
      </w:r>
    </w:p>
  </w:footnote>
  <w:footnote w:id="15">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w:t>
      </w:r>
      <w:proofErr w:type="spellStart"/>
      <w:r w:rsidRPr="003261B8">
        <w:rPr>
          <w:color w:val="000000" w:themeColor="text1"/>
          <w:sz w:val="18"/>
          <w:szCs w:val="18"/>
          <w:lang w:val="en-GB"/>
        </w:rPr>
        <w:t>Thania</w:t>
      </w:r>
      <w:proofErr w:type="spellEnd"/>
      <w:r w:rsidRPr="003261B8">
        <w:rPr>
          <w:color w:val="000000" w:themeColor="text1"/>
          <w:sz w:val="18"/>
          <w:szCs w:val="18"/>
          <w:lang w:val="en-GB"/>
        </w:rPr>
        <w:t xml:space="preserve"> </w:t>
      </w:r>
      <w:proofErr w:type="spellStart"/>
      <w:r w:rsidRPr="003261B8">
        <w:rPr>
          <w:color w:val="000000" w:themeColor="text1"/>
          <w:sz w:val="18"/>
          <w:szCs w:val="18"/>
          <w:lang w:val="en-GB"/>
        </w:rPr>
        <w:t>Paffenholz</w:t>
      </w:r>
      <w:proofErr w:type="spellEnd"/>
      <w:r w:rsidRPr="003261B8">
        <w:rPr>
          <w:color w:val="000000" w:themeColor="text1"/>
          <w:sz w:val="18"/>
          <w:szCs w:val="18"/>
          <w:lang w:val="en-GB"/>
        </w:rPr>
        <w:t xml:space="preserve"> (2002), “Civil Society and Peacebuilding”, CCDP </w:t>
      </w:r>
      <w:r w:rsidRPr="003261B8">
        <w:rPr>
          <w:i/>
          <w:color w:val="000000" w:themeColor="text1"/>
          <w:sz w:val="18"/>
          <w:szCs w:val="18"/>
          <w:lang w:val="en-GB"/>
        </w:rPr>
        <w:t>Working Paper</w:t>
      </w:r>
      <w:r w:rsidRPr="003261B8">
        <w:rPr>
          <w:color w:val="000000" w:themeColor="text1"/>
          <w:sz w:val="18"/>
          <w:szCs w:val="18"/>
          <w:lang w:val="en-GB"/>
        </w:rPr>
        <w:t xml:space="preserve">, Graduate Institute of International Studies, Geneva, </w:t>
      </w:r>
      <w:hyperlink r:id="rId1" w:history="1">
        <w:r w:rsidRPr="003261B8">
          <w:rPr>
            <w:rStyle w:val="Hyperlink"/>
            <w:color w:val="000000" w:themeColor="text1"/>
            <w:sz w:val="18"/>
            <w:szCs w:val="18"/>
            <w:lang w:val="en-GB"/>
          </w:rPr>
          <w:t>http://graduateinstitute.ch/webdav/site/ccdp/shared/6305/CCDP-Working-Paper-4-Civi-Society.pdf</w:t>
        </w:r>
      </w:hyperlink>
      <w:r w:rsidRPr="003261B8">
        <w:rPr>
          <w:color w:val="000000" w:themeColor="text1"/>
          <w:sz w:val="18"/>
          <w:szCs w:val="18"/>
          <w:lang w:val="en-GB"/>
        </w:rPr>
        <w:t xml:space="preserve">. </w:t>
      </w:r>
    </w:p>
  </w:footnote>
  <w:footnote w:id="16">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The Indo-Naga Ceasefire Agreement between the GOI and the NSCN-IM was signed in July 1997 at the ‘highest level’ and in a third country – at insistence of the collective leadership, </w:t>
      </w:r>
      <w:proofErr w:type="spellStart"/>
      <w:r w:rsidRPr="003261B8">
        <w:rPr>
          <w:color w:val="000000" w:themeColor="text1"/>
          <w:sz w:val="18"/>
          <w:szCs w:val="18"/>
          <w:lang w:val="en-GB"/>
        </w:rPr>
        <w:t>Isak</w:t>
      </w:r>
      <w:proofErr w:type="spellEnd"/>
      <w:r w:rsidRPr="003261B8">
        <w:rPr>
          <w:color w:val="000000" w:themeColor="text1"/>
          <w:sz w:val="18"/>
          <w:szCs w:val="18"/>
          <w:lang w:val="en-GB"/>
        </w:rPr>
        <w:t xml:space="preserve"> and </w:t>
      </w:r>
      <w:proofErr w:type="spellStart"/>
      <w:r w:rsidRPr="003261B8">
        <w:rPr>
          <w:color w:val="000000" w:themeColor="text1"/>
          <w:sz w:val="18"/>
          <w:szCs w:val="18"/>
          <w:lang w:val="en-GB"/>
        </w:rPr>
        <w:t>Th</w:t>
      </w:r>
      <w:proofErr w:type="spellEnd"/>
      <w:r w:rsidRPr="003261B8">
        <w:rPr>
          <w:color w:val="000000" w:themeColor="text1"/>
          <w:sz w:val="18"/>
          <w:szCs w:val="18"/>
          <w:lang w:val="en-GB"/>
        </w:rPr>
        <w:t xml:space="preserve"> </w:t>
      </w:r>
      <w:proofErr w:type="spellStart"/>
      <w:r w:rsidRPr="003261B8">
        <w:rPr>
          <w:color w:val="000000" w:themeColor="text1"/>
          <w:sz w:val="18"/>
          <w:szCs w:val="18"/>
          <w:lang w:val="en-GB"/>
        </w:rPr>
        <w:t>Muivah</w:t>
      </w:r>
      <w:proofErr w:type="spellEnd"/>
      <w:r w:rsidRPr="003261B8">
        <w:rPr>
          <w:color w:val="000000" w:themeColor="text1"/>
          <w:sz w:val="18"/>
          <w:szCs w:val="18"/>
          <w:lang w:val="en-GB"/>
        </w:rPr>
        <w:t xml:space="preserve"> of the National Socialist Council of </w:t>
      </w:r>
      <w:proofErr w:type="spellStart"/>
      <w:r w:rsidRPr="003261B8">
        <w:rPr>
          <w:color w:val="000000" w:themeColor="text1"/>
          <w:sz w:val="18"/>
          <w:szCs w:val="18"/>
          <w:lang w:val="en-GB"/>
        </w:rPr>
        <w:t>Nagalim</w:t>
      </w:r>
      <w:proofErr w:type="spellEnd"/>
      <w:r w:rsidRPr="003261B8">
        <w:rPr>
          <w:color w:val="000000" w:themeColor="text1"/>
          <w:sz w:val="18"/>
          <w:szCs w:val="18"/>
          <w:lang w:val="en-GB"/>
        </w:rPr>
        <w:t xml:space="preserve"> (NSCN) as a recognition of claiming status as an ‘equal’ party representing a national movement and government in exile, though ‘sovereignty’ was not part of the negotiations to follow. Eighteen years since the peace talks are still ongoing, no political settlement has been reached and ceasefire has been normalized as peace.     </w:t>
      </w:r>
    </w:p>
  </w:footnote>
  <w:footnote w:id="17">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See Rita Manchanda &amp; </w:t>
      </w:r>
      <w:proofErr w:type="spellStart"/>
      <w:r w:rsidRPr="003261B8">
        <w:rPr>
          <w:color w:val="000000" w:themeColor="text1"/>
          <w:sz w:val="18"/>
          <w:szCs w:val="18"/>
          <w:lang w:val="en-GB"/>
        </w:rPr>
        <w:t>Tapan</w:t>
      </w:r>
      <w:proofErr w:type="spellEnd"/>
      <w:r w:rsidRPr="003261B8">
        <w:rPr>
          <w:color w:val="000000" w:themeColor="text1"/>
          <w:sz w:val="18"/>
          <w:szCs w:val="18"/>
          <w:lang w:val="en-GB"/>
        </w:rPr>
        <w:t xml:space="preserve"> K Bose (2015), </w:t>
      </w:r>
      <w:r w:rsidRPr="003261B8">
        <w:rPr>
          <w:i/>
          <w:color w:val="000000" w:themeColor="text1"/>
          <w:sz w:val="18"/>
          <w:szCs w:val="18"/>
          <w:lang w:val="en-GB"/>
        </w:rPr>
        <w:t>Endgame in the Naga Peace Process</w:t>
      </w:r>
      <w:r w:rsidRPr="003261B8">
        <w:rPr>
          <w:color w:val="000000" w:themeColor="text1"/>
          <w:sz w:val="18"/>
          <w:szCs w:val="18"/>
          <w:lang w:val="en-GB"/>
        </w:rPr>
        <w:t>, op. cit.</w:t>
      </w:r>
    </w:p>
  </w:footnote>
  <w:footnote w:id="18">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Rita Manchanda (</w:t>
      </w:r>
      <w:r w:rsidRPr="003261B8">
        <w:rPr>
          <w:rFonts w:cs="Times New Roman"/>
          <w:color w:val="000000" w:themeColor="text1"/>
          <w:sz w:val="18"/>
          <w:szCs w:val="18"/>
          <w:lang w:val="en-GB"/>
        </w:rPr>
        <w:t xml:space="preserve">2004), </w:t>
      </w:r>
      <w:r w:rsidRPr="003261B8">
        <w:rPr>
          <w:rFonts w:cs="Times New Roman"/>
          <w:i/>
          <w:color w:val="000000" w:themeColor="text1"/>
          <w:sz w:val="18"/>
          <w:szCs w:val="18"/>
          <w:lang w:val="en-GB"/>
        </w:rPr>
        <w:t>We Do More Because We Can:</w:t>
      </w:r>
      <w:r w:rsidR="00DE7555">
        <w:rPr>
          <w:rFonts w:cs="Times New Roman"/>
          <w:i/>
          <w:color w:val="000000" w:themeColor="text1"/>
          <w:sz w:val="18"/>
          <w:szCs w:val="18"/>
          <w:lang w:val="en-GB"/>
        </w:rPr>
        <w:t xml:space="preserve"> </w:t>
      </w:r>
      <w:r w:rsidRPr="003261B8">
        <w:rPr>
          <w:rFonts w:cs="Times New Roman"/>
          <w:i/>
          <w:color w:val="000000" w:themeColor="text1"/>
          <w:sz w:val="18"/>
          <w:szCs w:val="18"/>
          <w:lang w:val="en-GB"/>
        </w:rPr>
        <w:t>Women in the Naga Peace Process</w:t>
      </w:r>
      <w:r w:rsidRPr="003261B8">
        <w:rPr>
          <w:rFonts w:cs="Times New Roman"/>
          <w:color w:val="000000" w:themeColor="text1"/>
          <w:sz w:val="18"/>
          <w:szCs w:val="18"/>
          <w:lang w:val="en-GB"/>
        </w:rPr>
        <w:t xml:space="preserve"> , Kathmandu, SAFHR </w:t>
      </w:r>
      <w:r w:rsidRPr="003261B8">
        <w:rPr>
          <w:color w:val="000000" w:themeColor="text1"/>
          <w:sz w:val="18"/>
          <w:szCs w:val="18"/>
          <w:lang w:val="en-GB"/>
        </w:rPr>
        <w:t xml:space="preserve"> </w:t>
      </w:r>
    </w:p>
  </w:footnote>
  <w:footnote w:id="19">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The history of the Naga national movement is scarred by bloody factional splits of the Naga National Council which launched the national movement and armed struggle. Scholars of the Naga movement have held the peace accords as responsible for dividing the </w:t>
      </w:r>
      <w:proofErr w:type="spellStart"/>
      <w:r w:rsidRPr="003261B8">
        <w:rPr>
          <w:color w:val="000000" w:themeColor="text1"/>
          <w:sz w:val="18"/>
          <w:szCs w:val="18"/>
          <w:lang w:val="en-GB"/>
        </w:rPr>
        <w:t>Nagas</w:t>
      </w:r>
      <w:proofErr w:type="spellEnd"/>
      <w:r w:rsidRPr="003261B8">
        <w:rPr>
          <w:color w:val="000000" w:themeColor="text1"/>
          <w:sz w:val="18"/>
          <w:szCs w:val="18"/>
          <w:lang w:val="en-GB"/>
        </w:rPr>
        <w:t xml:space="preserve">. In 1980 NSCN emerged out of the ashes of the </w:t>
      </w:r>
      <w:proofErr w:type="spellStart"/>
      <w:r w:rsidRPr="003261B8">
        <w:rPr>
          <w:color w:val="000000" w:themeColor="text1"/>
          <w:sz w:val="18"/>
          <w:szCs w:val="18"/>
          <w:lang w:val="en-GB"/>
        </w:rPr>
        <w:t>Shillong</w:t>
      </w:r>
      <w:proofErr w:type="spellEnd"/>
      <w:r w:rsidRPr="003261B8">
        <w:rPr>
          <w:color w:val="000000" w:themeColor="text1"/>
          <w:sz w:val="18"/>
          <w:szCs w:val="18"/>
          <w:lang w:val="en-GB"/>
        </w:rPr>
        <w:t xml:space="preserve"> Accord (1975), and in 1988 split into the NSCN </w:t>
      </w:r>
      <w:proofErr w:type="spellStart"/>
      <w:r w:rsidRPr="003261B8">
        <w:rPr>
          <w:color w:val="000000" w:themeColor="text1"/>
          <w:sz w:val="18"/>
          <w:szCs w:val="18"/>
          <w:lang w:val="en-GB"/>
        </w:rPr>
        <w:t>Isak-Muivah</w:t>
      </w:r>
      <w:proofErr w:type="spellEnd"/>
      <w:r w:rsidRPr="003261B8">
        <w:rPr>
          <w:color w:val="000000" w:themeColor="text1"/>
          <w:sz w:val="18"/>
          <w:szCs w:val="18"/>
          <w:lang w:val="en-GB"/>
        </w:rPr>
        <w:t xml:space="preserve"> (IM) and NSCN </w:t>
      </w:r>
      <w:proofErr w:type="spellStart"/>
      <w:r w:rsidRPr="003261B8">
        <w:rPr>
          <w:color w:val="000000" w:themeColor="text1"/>
          <w:sz w:val="18"/>
          <w:szCs w:val="18"/>
          <w:lang w:val="en-GB"/>
        </w:rPr>
        <w:t>Khaplang</w:t>
      </w:r>
      <w:proofErr w:type="spellEnd"/>
      <w:r w:rsidRPr="003261B8">
        <w:rPr>
          <w:color w:val="000000" w:themeColor="text1"/>
          <w:sz w:val="18"/>
          <w:szCs w:val="18"/>
          <w:lang w:val="en-GB"/>
        </w:rPr>
        <w:t xml:space="preserve"> factions. The Indian government in 1997 chose to make peace with only one faction, NSCN-IM. Four years later in 2001, GOI signed a separate ceasefire with the Myanmar-based </w:t>
      </w:r>
      <w:proofErr w:type="spellStart"/>
      <w:r w:rsidRPr="003261B8">
        <w:rPr>
          <w:color w:val="000000" w:themeColor="text1"/>
          <w:sz w:val="18"/>
          <w:szCs w:val="18"/>
          <w:lang w:val="en-GB"/>
        </w:rPr>
        <w:t>Khaplang</w:t>
      </w:r>
      <w:proofErr w:type="spellEnd"/>
      <w:r w:rsidRPr="003261B8">
        <w:rPr>
          <w:color w:val="000000" w:themeColor="text1"/>
          <w:sz w:val="18"/>
          <w:szCs w:val="18"/>
          <w:lang w:val="en-GB"/>
        </w:rPr>
        <w:t xml:space="preserve"> group.  </w:t>
      </w:r>
    </w:p>
  </w:footnote>
  <w:footnote w:id="20">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w:t>
      </w:r>
      <w:r w:rsidRPr="003261B8">
        <w:rPr>
          <w:i/>
          <w:color w:val="000000" w:themeColor="text1"/>
          <w:sz w:val="18"/>
          <w:szCs w:val="18"/>
          <w:lang w:val="en-GB"/>
        </w:rPr>
        <w:t>Naga Chronicle</w:t>
      </w:r>
      <w:r w:rsidRPr="003261B8">
        <w:rPr>
          <w:color w:val="000000" w:themeColor="text1"/>
          <w:sz w:val="18"/>
          <w:szCs w:val="18"/>
          <w:lang w:val="en-GB"/>
        </w:rPr>
        <w:t xml:space="preserve">, compiled by Rev </w:t>
      </w:r>
      <w:proofErr w:type="spellStart"/>
      <w:r w:rsidRPr="003261B8">
        <w:rPr>
          <w:color w:val="000000" w:themeColor="text1"/>
          <w:sz w:val="18"/>
          <w:szCs w:val="18"/>
          <w:lang w:val="en-GB"/>
        </w:rPr>
        <w:t>Nhu</w:t>
      </w:r>
      <w:proofErr w:type="spellEnd"/>
      <w:r w:rsidRPr="003261B8">
        <w:rPr>
          <w:color w:val="000000" w:themeColor="text1"/>
          <w:sz w:val="18"/>
          <w:szCs w:val="18"/>
          <w:lang w:val="en-GB"/>
        </w:rPr>
        <w:t xml:space="preserve"> and </w:t>
      </w:r>
      <w:proofErr w:type="spellStart"/>
      <w:r w:rsidRPr="003261B8">
        <w:rPr>
          <w:color w:val="000000" w:themeColor="text1"/>
          <w:sz w:val="18"/>
          <w:szCs w:val="18"/>
          <w:lang w:val="en-GB"/>
        </w:rPr>
        <w:t>Lasuh</w:t>
      </w:r>
      <w:proofErr w:type="spellEnd"/>
      <w:r w:rsidRPr="003261B8">
        <w:rPr>
          <w:color w:val="000000" w:themeColor="text1"/>
          <w:sz w:val="18"/>
          <w:szCs w:val="18"/>
          <w:lang w:val="en-GB"/>
        </w:rPr>
        <w:t>, p 633.</w:t>
      </w:r>
    </w:p>
  </w:footnote>
  <w:footnote w:id="21">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See Note 7.</w:t>
      </w:r>
    </w:p>
  </w:footnote>
  <w:footnote w:id="22">
    <w:p w:rsidR="00FA0CCB" w:rsidRPr="003261B8" w:rsidRDefault="00FA0CCB">
      <w:pPr>
        <w:pStyle w:val="FootnoteText"/>
        <w:rPr>
          <w:sz w:val="18"/>
          <w:szCs w:val="18"/>
        </w:rPr>
      </w:pPr>
      <w:r w:rsidRPr="003261B8">
        <w:rPr>
          <w:rStyle w:val="FootnoteReference"/>
          <w:sz w:val="18"/>
          <w:szCs w:val="18"/>
        </w:rPr>
        <w:footnoteRef/>
      </w:r>
      <w:r w:rsidRPr="003261B8">
        <w:rPr>
          <w:sz w:val="18"/>
          <w:szCs w:val="18"/>
        </w:rPr>
        <w:t xml:space="preserve"> </w:t>
      </w:r>
      <w:r w:rsidRPr="00AC41F3">
        <w:rPr>
          <w:color w:val="FF0000"/>
          <w:sz w:val="18"/>
          <w:szCs w:val="18"/>
        </w:rPr>
        <w:t xml:space="preserve">Full text available at: </w:t>
      </w:r>
      <w:hyperlink r:id="rId2" w:history="1">
        <w:r w:rsidRPr="00AC41F3">
          <w:rPr>
            <w:rStyle w:val="Hyperlink"/>
            <w:color w:val="FF0000"/>
            <w:sz w:val="18"/>
            <w:szCs w:val="18"/>
          </w:rPr>
          <w:t>http://www.maroc.ma/en/content/constitution</w:t>
        </w:r>
      </w:hyperlink>
      <w:r w:rsidRPr="003261B8">
        <w:rPr>
          <w:color w:val="FF0000"/>
          <w:sz w:val="18"/>
          <w:szCs w:val="18"/>
        </w:rPr>
        <w:t>.</w:t>
      </w:r>
      <w:r w:rsidRPr="003261B8">
        <w:rPr>
          <w:sz w:val="18"/>
          <w:szCs w:val="18"/>
        </w:rPr>
        <w:t xml:space="preserve"> </w:t>
      </w:r>
    </w:p>
  </w:footnote>
  <w:footnote w:id="23">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See chapter “Gender and Ethno-nationalist struggles” in Manchanda &amp; Bose (2015), </w:t>
      </w:r>
      <w:r w:rsidRPr="003261B8">
        <w:rPr>
          <w:i/>
          <w:color w:val="000000" w:themeColor="text1"/>
          <w:sz w:val="18"/>
          <w:szCs w:val="18"/>
          <w:lang w:val="en-GB"/>
        </w:rPr>
        <w:t>Making War Making Peace: Conflict Resolution in South Asia</w:t>
      </w:r>
      <w:r w:rsidRPr="003261B8">
        <w:rPr>
          <w:color w:val="000000" w:themeColor="text1"/>
          <w:sz w:val="18"/>
          <w:szCs w:val="18"/>
          <w:lang w:val="en-GB"/>
        </w:rPr>
        <w:t>”, pp 142-170, op. cit. (Note 11).</w:t>
      </w:r>
    </w:p>
  </w:footnote>
  <w:footnote w:id="24">
    <w:p w:rsidR="00FA0CCB" w:rsidRPr="003261B8" w:rsidRDefault="00FA0CCB" w:rsidP="00CB5AAB">
      <w:pPr>
        <w:spacing w:after="0" w:line="240" w:lineRule="auto"/>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w:t>
      </w:r>
      <w:r w:rsidRPr="003261B8">
        <w:rPr>
          <w:rFonts w:cstheme="minorHAnsi"/>
          <w:color w:val="000000" w:themeColor="text1"/>
          <w:sz w:val="18"/>
          <w:szCs w:val="18"/>
          <w:lang w:val="en-GB"/>
        </w:rPr>
        <w:t xml:space="preserve">Rita Manchanda &amp; </w:t>
      </w:r>
      <w:proofErr w:type="spellStart"/>
      <w:r w:rsidRPr="003261B8">
        <w:rPr>
          <w:rFonts w:cstheme="minorHAnsi"/>
          <w:color w:val="000000" w:themeColor="text1"/>
          <w:sz w:val="18"/>
          <w:szCs w:val="18"/>
          <w:lang w:val="en-GB"/>
        </w:rPr>
        <w:t>Seema</w:t>
      </w:r>
      <w:proofErr w:type="spellEnd"/>
      <w:r w:rsidRPr="003261B8">
        <w:rPr>
          <w:rFonts w:cstheme="minorHAnsi"/>
          <w:color w:val="000000" w:themeColor="text1"/>
          <w:sz w:val="18"/>
          <w:szCs w:val="18"/>
          <w:lang w:val="en-GB"/>
        </w:rPr>
        <w:t xml:space="preserve"> </w:t>
      </w:r>
      <w:proofErr w:type="spellStart"/>
      <w:r w:rsidRPr="003261B8">
        <w:rPr>
          <w:rFonts w:cstheme="minorHAnsi"/>
          <w:color w:val="000000" w:themeColor="text1"/>
          <w:sz w:val="18"/>
          <w:szCs w:val="18"/>
          <w:lang w:val="en-GB"/>
        </w:rPr>
        <w:t>Kakran</w:t>
      </w:r>
      <w:proofErr w:type="spellEnd"/>
      <w:r w:rsidRPr="003261B8">
        <w:rPr>
          <w:rFonts w:cstheme="minorHAnsi"/>
          <w:color w:val="000000" w:themeColor="text1"/>
          <w:sz w:val="18"/>
          <w:szCs w:val="18"/>
          <w:lang w:val="en-GB"/>
        </w:rPr>
        <w:t>, “Gendered Power Transformations in India’s Northeast: Peace Politics in Nagaland</w:t>
      </w:r>
      <w:proofErr w:type="gramStart"/>
      <w:r w:rsidRPr="003261B8">
        <w:rPr>
          <w:rFonts w:cstheme="minorHAnsi"/>
          <w:color w:val="000000" w:themeColor="text1"/>
          <w:sz w:val="18"/>
          <w:szCs w:val="18"/>
          <w:lang w:val="en-GB"/>
        </w:rPr>
        <w:t>” ,</w:t>
      </w:r>
      <w:proofErr w:type="gramEnd"/>
      <w:r w:rsidRPr="003261B8">
        <w:rPr>
          <w:rFonts w:cstheme="minorHAnsi"/>
          <w:color w:val="000000" w:themeColor="text1"/>
          <w:sz w:val="18"/>
          <w:szCs w:val="18"/>
          <w:lang w:val="en-GB"/>
        </w:rPr>
        <w:t xml:space="preserve"> in </w:t>
      </w:r>
      <w:proofErr w:type="spellStart"/>
      <w:r w:rsidRPr="003261B8">
        <w:rPr>
          <w:rFonts w:cstheme="minorHAnsi"/>
          <w:color w:val="000000" w:themeColor="text1"/>
          <w:sz w:val="18"/>
          <w:szCs w:val="18"/>
          <w:lang w:val="en-GB"/>
        </w:rPr>
        <w:t>Ashild</w:t>
      </w:r>
      <w:proofErr w:type="spellEnd"/>
      <w:r w:rsidRPr="003261B8">
        <w:rPr>
          <w:rFonts w:cstheme="minorHAnsi"/>
          <w:color w:val="000000" w:themeColor="text1"/>
          <w:sz w:val="18"/>
          <w:szCs w:val="18"/>
          <w:lang w:val="en-GB"/>
        </w:rPr>
        <w:t xml:space="preserve"> Kolas ed., </w:t>
      </w:r>
      <w:r w:rsidRPr="003261B8">
        <w:rPr>
          <w:rFonts w:cstheme="minorHAnsi"/>
          <w:i/>
          <w:color w:val="000000" w:themeColor="text1"/>
          <w:sz w:val="18"/>
          <w:szCs w:val="18"/>
          <w:lang w:val="en-GB"/>
        </w:rPr>
        <w:t>Making Women Count for Peace</w:t>
      </w:r>
      <w:r w:rsidRPr="003261B8">
        <w:rPr>
          <w:rFonts w:cstheme="minorHAnsi"/>
          <w:color w:val="000000" w:themeColor="text1"/>
          <w:sz w:val="18"/>
          <w:szCs w:val="18"/>
          <w:lang w:val="en-GB"/>
        </w:rPr>
        <w:t xml:space="preserve">, Orient </w:t>
      </w:r>
      <w:proofErr w:type="spellStart"/>
      <w:r w:rsidRPr="003261B8">
        <w:rPr>
          <w:rFonts w:cstheme="minorHAnsi"/>
          <w:color w:val="000000" w:themeColor="text1"/>
          <w:sz w:val="18"/>
          <w:szCs w:val="18"/>
          <w:lang w:val="en-GB"/>
        </w:rPr>
        <w:t>Blackswan</w:t>
      </w:r>
      <w:proofErr w:type="spellEnd"/>
      <w:r w:rsidRPr="003261B8">
        <w:rPr>
          <w:rFonts w:cstheme="minorHAnsi"/>
          <w:color w:val="000000" w:themeColor="text1"/>
          <w:sz w:val="18"/>
          <w:szCs w:val="18"/>
          <w:lang w:val="en-GB"/>
        </w:rPr>
        <w:t xml:space="preserve"> (forthcoming).</w:t>
      </w:r>
    </w:p>
  </w:footnote>
  <w:footnote w:id="25">
    <w:p w:rsidR="00FA0CCB" w:rsidRPr="003261B8" w:rsidRDefault="00FA0CCB" w:rsidP="00CB5AAB">
      <w:pPr>
        <w:pStyle w:val="FootnoteText"/>
        <w:jc w:val="both"/>
        <w:rPr>
          <w:color w:val="000000" w:themeColor="text1"/>
          <w:sz w:val="18"/>
          <w:szCs w:val="18"/>
          <w:lang w:val="en-GB"/>
        </w:rPr>
      </w:pPr>
      <w:r w:rsidRPr="003261B8">
        <w:rPr>
          <w:rStyle w:val="FootnoteReference"/>
          <w:color w:val="000000" w:themeColor="text1"/>
          <w:sz w:val="18"/>
          <w:szCs w:val="18"/>
          <w:lang w:val="en-GB"/>
        </w:rPr>
        <w:footnoteRef/>
      </w:r>
      <w:r w:rsidRPr="003261B8">
        <w:rPr>
          <w:color w:val="000000" w:themeColor="text1"/>
          <w:sz w:val="18"/>
          <w:szCs w:val="18"/>
          <w:lang w:val="en-GB"/>
        </w:rPr>
        <w:t xml:space="preserve"> Ibid.</w:t>
      </w:r>
    </w:p>
  </w:footnote>
  <w:footnote w:id="26">
    <w:p w:rsidR="00FA0CCB" w:rsidRPr="003261B8" w:rsidRDefault="00FA0CCB" w:rsidP="00CB5AAB">
      <w:pPr>
        <w:spacing w:after="0" w:line="240" w:lineRule="auto"/>
        <w:jc w:val="both"/>
        <w:rPr>
          <w:color w:val="000000" w:themeColor="text1"/>
          <w:sz w:val="18"/>
          <w:szCs w:val="18"/>
          <w:lang w:val="en-GB"/>
        </w:rPr>
      </w:pPr>
      <w:r w:rsidRPr="003261B8">
        <w:rPr>
          <w:rStyle w:val="FootnoteReference"/>
          <w:color w:val="000000" w:themeColor="text1"/>
          <w:sz w:val="18"/>
          <w:szCs w:val="18"/>
        </w:rPr>
        <w:footnoteRef/>
      </w:r>
      <w:r w:rsidRPr="003261B8">
        <w:rPr>
          <w:rStyle w:val="FootnoteReference"/>
          <w:color w:val="000000" w:themeColor="text1"/>
          <w:sz w:val="18"/>
          <w:szCs w:val="18"/>
        </w:rPr>
        <w:t xml:space="preserve"> </w:t>
      </w:r>
      <w:r w:rsidRPr="003261B8">
        <w:rPr>
          <w:rFonts w:cs="Arial"/>
          <w:color w:val="000000" w:themeColor="text1"/>
          <w:sz w:val="18"/>
          <w:szCs w:val="18"/>
          <w:lang w:val="en-GB"/>
        </w:rPr>
        <w:t xml:space="preserve">H. </w:t>
      </w:r>
      <w:proofErr w:type="spellStart"/>
      <w:r w:rsidRPr="003261B8">
        <w:rPr>
          <w:rFonts w:cs="Arial"/>
          <w:color w:val="000000" w:themeColor="text1"/>
          <w:sz w:val="18"/>
          <w:szCs w:val="18"/>
          <w:lang w:val="en-GB"/>
        </w:rPr>
        <w:t>Kham</w:t>
      </w:r>
      <w:proofErr w:type="spellEnd"/>
      <w:r w:rsidRPr="003261B8">
        <w:rPr>
          <w:rFonts w:cs="Arial"/>
          <w:color w:val="000000" w:themeColor="text1"/>
          <w:sz w:val="18"/>
          <w:szCs w:val="18"/>
          <w:lang w:val="en-GB"/>
        </w:rPr>
        <w:t xml:space="preserve"> Khan </w:t>
      </w:r>
      <w:proofErr w:type="spellStart"/>
      <w:r w:rsidRPr="003261B8">
        <w:rPr>
          <w:rFonts w:cs="Arial"/>
          <w:color w:val="000000" w:themeColor="text1"/>
          <w:sz w:val="18"/>
          <w:szCs w:val="18"/>
          <w:lang w:val="en-GB"/>
        </w:rPr>
        <w:t>Suan</w:t>
      </w:r>
      <w:proofErr w:type="spellEnd"/>
      <w:r w:rsidRPr="003261B8">
        <w:rPr>
          <w:rFonts w:cs="Arial"/>
          <w:color w:val="000000" w:themeColor="text1"/>
          <w:sz w:val="18"/>
          <w:szCs w:val="18"/>
          <w:lang w:val="en-GB"/>
        </w:rPr>
        <w:t xml:space="preserve">, ‘Adding Fuel to the Fire’, </w:t>
      </w:r>
      <w:r w:rsidRPr="003261B8">
        <w:rPr>
          <w:rFonts w:cs="Arial"/>
          <w:i/>
          <w:color w:val="000000" w:themeColor="text1"/>
          <w:sz w:val="18"/>
          <w:szCs w:val="18"/>
          <w:lang w:val="en-GB"/>
        </w:rPr>
        <w:t>The Hindu</w:t>
      </w:r>
      <w:r w:rsidRPr="003261B8">
        <w:rPr>
          <w:rFonts w:cs="Arial"/>
          <w:color w:val="000000" w:themeColor="text1"/>
          <w:sz w:val="18"/>
          <w:szCs w:val="18"/>
          <w:lang w:val="en-GB"/>
        </w:rPr>
        <w:t xml:space="preserve">, 9 August 2013. </w:t>
      </w:r>
      <w:hyperlink r:id="rId3" w:history="1">
        <w:r w:rsidRPr="003261B8">
          <w:rPr>
            <w:rStyle w:val="Hyperlink"/>
            <w:rFonts w:cs="Arial"/>
            <w:color w:val="000000" w:themeColor="text1"/>
            <w:sz w:val="18"/>
            <w:szCs w:val="18"/>
            <w:lang w:val="en-GB"/>
          </w:rPr>
          <w:t>http://www.thehindu.com/opinion/lead/adding-fuel-to-the-fire/article5004098.ece</w:t>
        </w:r>
      </w:hyperlink>
      <w:r w:rsidRPr="003261B8">
        <w:rPr>
          <w:rFonts w:cs="Arial"/>
          <w:color w:val="000000" w:themeColor="text1"/>
          <w:sz w:val="18"/>
          <w:szCs w:val="18"/>
          <w:lang w:val="en-GB"/>
        </w:rPr>
        <w:t>.</w:t>
      </w:r>
    </w:p>
  </w:footnote>
  <w:footnote w:id="27">
    <w:p w:rsidR="00FA0CCB" w:rsidRPr="003261B8" w:rsidRDefault="00FA0CCB" w:rsidP="00CB5AAB">
      <w:pPr>
        <w:pStyle w:val="Heading1"/>
        <w:shd w:val="clear" w:color="auto" w:fill="FFFFFF"/>
        <w:spacing w:before="0" w:beforeAutospacing="0" w:after="0" w:afterAutospacing="0"/>
        <w:jc w:val="both"/>
        <w:rPr>
          <w:rFonts w:asciiTheme="minorHAnsi" w:hAnsiTheme="minorHAnsi" w:cstheme="minorHAnsi"/>
          <w:b w:val="0"/>
          <w:bCs w:val="0"/>
          <w:color w:val="000000" w:themeColor="text1"/>
          <w:sz w:val="18"/>
          <w:szCs w:val="18"/>
          <w:lang w:val="en-GB"/>
        </w:rPr>
      </w:pPr>
      <w:r w:rsidRPr="003261B8">
        <w:rPr>
          <w:rStyle w:val="FootnoteReference"/>
          <w:rFonts w:asciiTheme="minorHAnsi" w:hAnsiTheme="minorHAnsi" w:cs="Arial"/>
          <w:b w:val="0"/>
          <w:color w:val="000000" w:themeColor="text1"/>
          <w:sz w:val="18"/>
          <w:szCs w:val="18"/>
          <w:lang w:val="en-GB"/>
        </w:rPr>
        <w:footnoteRef/>
      </w:r>
      <w:r w:rsidRPr="003261B8">
        <w:rPr>
          <w:rFonts w:asciiTheme="minorHAnsi" w:hAnsiTheme="minorHAnsi" w:cs="Arial"/>
          <w:b w:val="0"/>
          <w:color w:val="000000" w:themeColor="text1"/>
          <w:sz w:val="18"/>
          <w:szCs w:val="18"/>
          <w:lang w:val="en-GB"/>
        </w:rPr>
        <w:t xml:space="preserve"> </w:t>
      </w:r>
      <w:r w:rsidRPr="00AC41F3">
        <w:rPr>
          <w:rFonts w:asciiTheme="minorHAnsi" w:eastAsiaTheme="minorHAnsi" w:hAnsiTheme="minorHAnsi" w:cstheme="minorHAnsi"/>
          <w:b w:val="0"/>
          <w:bCs w:val="0"/>
          <w:color w:val="000000" w:themeColor="text1"/>
          <w:kern w:val="0"/>
          <w:sz w:val="18"/>
          <w:szCs w:val="18"/>
          <w:lang w:val="en-GB"/>
        </w:rPr>
        <w:t xml:space="preserve">India has entered a declaration with respect to Common Article 1 of the International Covenant on Civil and Political Rights (ICCPR) and the International Covenant on Economic, Social and Cultural Rights (ICESCR), expressing the view that the right to self-determination applies “only to people under foreign domination” and not to “sovereign independent States or to a section of a people or nation – which is the essence of national integrity. See: </w:t>
      </w:r>
      <w:hyperlink r:id="rId4" w:history="1">
        <w:r w:rsidRPr="00AC41F3">
          <w:rPr>
            <w:rFonts w:asciiTheme="minorHAnsi" w:eastAsiaTheme="minorHAnsi" w:hAnsiTheme="minorHAnsi"/>
            <w:b w:val="0"/>
            <w:bCs w:val="0"/>
            <w:kern w:val="0"/>
            <w:sz w:val="18"/>
            <w:szCs w:val="18"/>
          </w:rPr>
          <w:t>Patrick Hoenig</w:t>
        </w:r>
      </w:hyperlink>
      <w:r w:rsidRPr="00AC41F3">
        <w:rPr>
          <w:rFonts w:asciiTheme="minorHAnsi" w:eastAsiaTheme="minorHAnsi" w:hAnsiTheme="minorHAnsi"/>
          <w:b w:val="0"/>
          <w:bCs w:val="0"/>
          <w:kern w:val="0"/>
          <w:sz w:val="18"/>
          <w:szCs w:val="18"/>
        </w:rPr>
        <w:t>, “</w:t>
      </w:r>
      <w:r w:rsidRPr="00AC41F3">
        <w:rPr>
          <w:rFonts w:asciiTheme="minorHAnsi" w:eastAsiaTheme="minorHAnsi" w:hAnsiTheme="minorHAnsi" w:cstheme="minorHAnsi"/>
          <w:b w:val="0"/>
          <w:bCs w:val="0"/>
          <w:color w:val="000000" w:themeColor="text1"/>
          <w:kern w:val="0"/>
          <w:sz w:val="18"/>
          <w:szCs w:val="18"/>
          <w:lang w:val="en-GB"/>
        </w:rPr>
        <w:t xml:space="preserve">Totem and Taboo: The Case for a Secession Clause in the Indian Constitution?” </w:t>
      </w:r>
      <w:r w:rsidRPr="00AC41F3">
        <w:rPr>
          <w:rFonts w:asciiTheme="minorHAnsi" w:eastAsiaTheme="minorHAnsi" w:hAnsiTheme="minorHAnsi" w:cstheme="minorHAnsi"/>
          <w:b w:val="0"/>
          <w:bCs w:val="0"/>
          <w:i/>
          <w:color w:val="000000" w:themeColor="text1"/>
          <w:kern w:val="0"/>
          <w:sz w:val="18"/>
          <w:szCs w:val="18"/>
          <w:lang w:val="en-GB"/>
        </w:rPr>
        <w:t>Economic &amp; Political Weekly</w:t>
      </w:r>
      <w:r w:rsidRPr="00AC41F3">
        <w:rPr>
          <w:rFonts w:asciiTheme="minorHAnsi" w:eastAsiaTheme="minorHAnsi" w:hAnsiTheme="minorHAnsi" w:cstheme="minorHAnsi"/>
          <w:b w:val="0"/>
          <w:bCs w:val="0"/>
          <w:color w:val="000000" w:themeColor="text1"/>
          <w:kern w:val="0"/>
          <w:sz w:val="18"/>
          <w:szCs w:val="18"/>
          <w:lang w:val="en-GB"/>
        </w:rPr>
        <w:t xml:space="preserve">, </w:t>
      </w:r>
      <w:proofErr w:type="gramStart"/>
      <w:r w:rsidRPr="00AC41F3">
        <w:rPr>
          <w:rFonts w:asciiTheme="minorHAnsi" w:eastAsiaTheme="minorHAnsi" w:hAnsiTheme="minorHAnsi"/>
          <w:b w:val="0"/>
          <w:bCs w:val="0"/>
          <w:kern w:val="0"/>
          <w:sz w:val="18"/>
          <w:szCs w:val="18"/>
        </w:rPr>
        <w:t>Vol  XLV</w:t>
      </w:r>
      <w:proofErr w:type="gramEnd"/>
      <w:r w:rsidRPr="00AC41F3">
        <w:rPr>
          <w:rFonts w:asciiTheme="minorHAnsi" w:eastAsiaTheme="minorHAnsi" w:hAnsiTheme="minorHAnsi"/>
          <w:b w:val="0"/>
          <w:bCs w:val="0"/>
          <w:kern w:val="0"/>
          <w:sz w:val="18"/>
          <w:szCs w:val="18"/>
        </w:rPr>
        <w:t xml:space="preserve"> No. 39, 25 September 2010</w:t>
      </w:r>
      <w:r w:rsidRPr="003261B8">
        <w:rPr>
          <w:rFonts w:asciiTheme="minorHAnsi" w:hAnsiTheme="minorHAnsi" w:cstheme="minorHAnsi"/>
          <w:b w:val="0"/>
          <w:color w:val="000000" w:themeColor="text1"/>
          <w:sz w:val="18"/>
          <w:szCs w:val="18"/>
          <w:shd w:val="clear" w:color="auto" w:fill="F2F2F2"/>
          <w:lang w:val="en-GB"/>
        </w:rPr>
        <w:t xml:space="preserve"> (</w:t>
      </w:r>
      <w:hyperlink r:id="rId5" w:history="1">
        <w:r w:rsidRPr="003261B8">
          <w:rPr>
            <w:rStyle w:val="Hyperlink"/>
            <w:rFonts w:asciiTheme="minorHAnsi" w:hAnsiTheme="minorHAnsi" w:cstheme="minorHAnsi"/>
            <w:b w:val="0"/>
            <w:color w:val="000000" w:themeColor="text1"/>
            <w:sz w:val="18"/>
            <w:szCs w:val="18"/>
            <w:lang w:val="en-GB"/>
          </w:rPr>
          <w:t>http://www.epw.in/special-articles/totem-and-taboo-case-secession-clause-indian-constitution.html</w:t>
        </w:r>
      </w:hyperlink>
      <w:r w:rsidRPr="003261B8">
        <w:rPr>
          <w:rFonts w:asciiTheme="minorHAnsi" w:hAnsiTheme="minorHAnsi" w:cstheme="minorHAnsi"/>
          <w:b w:val="0"/>
          <w:bCs w:val="0"/>
          <w:color w:val="000000" w:themeColor="text1"/>
          <w:sz w:val="18"/>
          <w:szCs w:val="18"/>
          <w:lang w:val="en-GB"/>
        </w:rPr>
        <w:t xml:space="preserve">). </w:t>
      </w:r>
    </w:p>
  </w:footnote>
  <w:footnote w:id="28">
    <w:p w:rsidR="00FA0CCB" w:rsidRPr="003261B8" w:rsidRDefault="00FA0CCB" w:rsidP="00001F6A">
      <w:pPr>
        <w:pStyle w:val="FootnoteText"/>
        <w:jc w:val="both"/>
        <w:rPr>
          <w:rFonts w:cstheme="minorHAnsi"/>
          <w:color w:val="000000" w:themeColor="text1"/>
          <w:sz w:val="18"/>
          <w:szCs w:val="18"/>
          <w:lang w:val="en-GB"/>
        </w:rPr>
      </w:pPr>
      <w:r w:rsidRPr="003261B8">
        <w:rPr>
          <w:rStyle w:val="FootnoteReference"/>
          <w:rFonts w:cstheme="minorHAnsi"/>
          <w:color w:val="000000" w:themeColor="text1"/>
          <w:sz w:val="18"/>
          <w:szCs w:val="18"/>
          <w:lang w:val="en-GB"/>
        </w:rPr>
        <w:footnoteRef/>
      </w:r>
      <w:r w:rsidRPr="003261B8">
        <w:rPr>
          <w:rFonts w:cstheme="minorHAnsi"/>
          <w:color w:val="000000" w:themeColor="text1"/>
          <w:sz w:val="18"/>
          <w:szCs w:val="18"/>
          <w:lang w:val="en-GB"/>
        </w:rPr>
        <w:t xml:space="preserve"> </w:t>
      </w:r>
      <w:proofErr w:type="spellStart"/>
      <w:r w:rsidRPr="003261B8">
        <w:rPr>
          <w:rFonts w:cstheme="minorHAnsi"/>
          <w:color w:val="000000" w:themeColor="text1"/>
          <w:sz w:val="18"/>
          <w:szCs w:val="18"/>
          <w:lang w:val="en-GB"/>
        </w:rPr>
        <w:t>Vrinda</w:t>
      </w:r>
      <w:proofErr w:type="spellEnd"/>
      <w:r w:rsidRPr="003261B8">
        <w:rPr>
          <w:rFonts w:cstheme="minorHAnsi"/>
          <w:color w:val="000000" w:themeColor="text1"/>
          <w:sz w:val="18"/>
          <w:szCs w:val="18"/>
          <w:lang w:val="en-GB"/>
        </w:rPr>
        <w:t xml:space="preserve"> Grover’s Submission to the </w:t>
      </w:r>
      <w:proofErr w:type="spellStart"/>
      <w:r w:rsidRPr="003261B8">
        <w:rPr>
          <w:rFonts w:cstheme="minorHAnsi"/>
          <w:color w:val="000000" w:themeColor="text1"/>
          <w:sz w:val="18"/>
          <w:szCs w:val="18"/>
          <w:lang w:val="en-GB"/>
        </w:rPr>
        <w:t>Verma</w:t>
      </w:r>
      <w:proofErr w:type="spellEnd"/>
      <w:r w:rsidRPr="003261B8">
        <w:rPr>
          <w:rFonts w:cstheme="minorHAnsi"/>
          <w:color w:val="000000" w:themeColor="text1"/>
          <w:sz w:val="18"/>
          <w:szCs w:val="18"/>
          <w:lang w:val="en-GB"/>
        </w:rPr>
        <w:t xml:space="preserve"> Committee, 5 January 2013 (</w:t>
      </w:r>
      <w:hyperlink r:id="rId6" w:history="1">
        <w:r w:rsidRPr="003261B8">
          <w:rPr>
            <w:rStyle w:val="Hyperlink"/>
            <w:rFonts w:cstheme="minorHAnsi"/>
            <w:color w:val="000000" w:themeColor="text1"/>
            <w:sz w:val="18"/>
            <w:szCs w:val="18"/>
            <w:lang w:val="en-GB"/>
          </w:rPr>
          <w:t>http://feministsindia.com/women-and-law/justice-verma-submissions/vrinda-grover/</w:t>
        </w:r>
      </w:hyperlink>
      <w:r w:rsidRPr="003261B8">
        <w:rPr>
          <w:color w:val="000000" w:themeColor="text1"/>
          <w:sz w:val="18"/>
          <w:szCs w:val="18"/>
        </w:rPr>
        <w:t xml:space="preserve"> </w:t>
      </w:r>
      <w:r w:rsidRPr="003261B8">
        <w:rPr>
          <w:rFonts w:cstheme="minorHAnsi"/>
          <w:color w:val="000000" w:themeColor="text1"/>
          <w:sz w:val="18"/>
          <w:szCs w:val="18"/>
          <w:lang w:val="en-GB"/>
        </w:rPr>
        <w:t xml:space="preserve"> accessed 28 October 2014). </w:t>
      </w:r>
    </w:p>
  </w:footnote>
  <w:footnote w:id="29">
    <w:p w:rsidR="00FA0CCB" w:rsidRPr="003261B8" w:rsidRDefault="00FA0CCB" w:rsidP="00CB5AAB">
      <w:pPr>
        <w:pStyle w:val="FootnoteText"/>
        <w:jc w:val="both"/>
        <w:rPr>
          <w:rFonts w:cstheme="minorHAnsi"/>
          <w:color w:val="000000" w:themeColor="text1"/>
          <w:sz w:val="18"/>
          <w:szCs w:val="18"/>
          <w:lang w:val="en-GB"/>
        </w:rPr>
      </w:pPr>
      <w:r w:rsidRPr="003261B8">
        <w:rPr>
          <w:rStyle w:val="FootnoteReference"/>
          <w:rFonts w:cstheme="minorHAnsi"/>
          <w:color w:val="000000" w:themeColor="text1"/>
          <w:sz w:val="18"/>
          <w:szCs w:val="18"/>
          <w:lang w:val="en-GB"/>
        </w:rPr>
        <w:footnoteRef/>
      </w:r>
      <w:r w:rsidRPr="003261B8">
        <w:rPr>
          <w:rFonts w:cstheme="minorHAnsi"/>
          <w:color w:val="000000" w:themeColor="text1"/>
          <w:sz w:val="18"/>
          <w:szCs w:val="18"/>
          <w:lang w:val="en-GB"/>
        </w:rPr>
        <w:t xml:space="preserve"> On the abortive efforts of </w:t>
      </w:r>
      <w:proofErr w:type="spellStart"/>
      <w:r w:rsidRPr="003261B8">
        <w:rPr>
          <w:rFonts w:cstheme="minorHAnsi"/>
          <w:color w:val="000000" w:themeColor="text1"/>
          <w:sz w:val="18"/>
          <w:szCs w:val="18"/>
          <w:lang w:val="en-GB"/>
        </w:rPr>
        <w:t>Indira</w:t>
      </w:r>
      <w:proofErr w:type="spellEnd"/>
      <w:r w:rsidRPr="003261B8">
        <w:rPr>
          <w:rFonts w:cstheme="minorHAnsi"/>
          <w:color w:val="000000" w:themeColor="text1"/>
          <w:sz w:val="18"/>
          <w:szCs w:val="18"/>
          <w:lang w:val="en-GB"/>
        </w:rPr>
        <w:t xml:space="preserve"> </w:t>
      </w:r>
      <w:proofErr w:type="spellStart"/>
      <w:r w:rsidRPr="003261B8">
        <w:rPr>
          <w:rFonts w:cstheme="minorHAnsi"/>
          <w:color w:val="000000" w:themeColor="text1"/>
          <w:sz w:val="18"/>
          <w:szCs w:val="18"/>
          <w:lang w:val="en-GB"/>
        </w:rPr>
        <w:t>Goswami</w:t>
      </w:r>
      <w:proofErr w:type="spellEnd"/>
      <w:r w:rsidRPr="003261B8">
        <w:rPr>
          <w:rFonts w:cstheme="minorHAnsi"/>
          <w:color w:val="000000" w:themeColor="text1"/>
          <w:sz w:val="18"/>
          <w:szCs w:val="18"/>
          <w:lang w:val="en-GB"/>
        </w:rPr>
        <w:t xml:space="preserve"> and the Peace Consultative Group to initiate a peace process in Assam in 2005, see </w:t>
      </w:r>
      <w:proofErr w:type="spellStart"/>
      <w:r w:rsidRPr="003261B8">
        <w:rPr>
          <w:rFonts w:cstheme="minorHAnsi"/>
          <w:color w:val="000000" w:themeColor="text1"/>
          <w:sz w:val="18"/>
          <w:szCs w:val="18"/>
          <w:lang w:val="en-GB"/>
        </w:rPr>
        <w:t>Tillotama</w:t>
      </w:r>
      <w:proofErr w:type="spellEnd"/>
      <w:r w:rsidRPr="003261B8">
        <w:rPr>
          <w:rFonts w:cstheme="minorHAnsi"/>
          <w:color w:val="000000" w:themeColor="text1"/>
          <w:sz w:val="18"/>
          <w:szCs w:val="18"/>
          <w:lang w:val="en-GB"/>
        </w:rPr>
        <w:t xml:space="preserve"> </w:t>
      </w:r>
      <w:proofErr w:type="spellStart"/>
      <w:r w:rsidRPr="003261B8">
        <w:rPr>
          <w:rFonts w:cstheme="minorHAnsi"/>
          <w:color w:val="000000" w:themeColor="text1"/>
          <w:sz w:val="18"/>
          <w:szCs w:val="18"/>
          <w:lang w:val="en-GB"/>
        </w:rPr>
        <w:t>Misra</w:t>
      </w:r>
      <w:proofErr w:type="spellEnd"/>
      <w:r w:rsidRPr="003261B8">
        <w:rPr>
          <w:rFonts w:cstheme="minorHAnsi"/>
          <w:color w:val="000000" w:themeColor="text1"/>
          <w:sz w:val="18"/>
          <w:szCs w:val="18"/>
          <w:lang w:val="en-GB"/>
        </w:rPr>
        <w:t>, “</w:t>
      </w:r>
      <w:proofErr w:type="spellStart"/>
      <w:r w:rsidRPr="003261B8">
        <w:rPr>
          <w:rFonts w:cstheme="minorHAnsi"/>
          <w:color w:val="000000" w:themeColor="text1"/>
          <w:sz w:val="18"/>
          <w:szCs w:val="18"/>
          <w:lang w:val="en-GB"/>
        </w:rPr>
        <w:t>Indira</w:t>
      </w:r>
      <w:proofErr w:type="spellEnd"/>
      <w:r w:rsidRPr="003261B8">
        <w:rPr>
          <w:rFonts w:cstheme="minorHAnsi"/>
          <w:color w:val="000000" w:themeColor="text1"/>
          <w:sz w:val="18"/>
          <w:szCs w:val="18"/>
          <w:lang w:val="en-GB"/>
        </w:rPr>
        <w:t xml:space="preserve"> </w:t>
      </w:r>
      <w:proofErr w:type="spellStart"/>
      <w:r w:rsidRPr="003261B8">
        <w:rPr>
          <w:rFonts w:cstheme="minorHAnsi"/>
          <w:color w:val="000000" w:themeColor="text1"/>
          <w:sz w:val="18"/>
          <w:szCs w:val="18"/>
          <w:lang w:val="en-GB"/>
        </w:rPr>
        <w:t>Goswami</w:t>
      </w:r>
      <w:proofErr w:type="spellEnd"/>
      <w:r w:rsidRPr="003261B8">
        <w:rPr>
          <w:rFonts w:cstheme="minorHAnsi"/>
          <w:color w:val="000000" w:themeColor="text1"/>
          <w:sz w:val="18"/>
          <w:szCs w:val="18"/>
          <w:lang w:val="en-GB"/>
        </w:rPr>
        <w:t xml:space="preserve">, Brave Gentle and Bold”, </w:t>
      </w:r>
      <w:r w:rsidRPr="003261B8">
        <w:rPr>
          <w:rFonts w:cstheme="minorHAnsi"/>
          <w:i/>
          <w:color w:val="000000" w:themeColor="text1"/>
          <w:sz w:val="18"/>
          <w:szCs w:val="18"/>
          <w:lang w:val="en-GB"/>
        </w:rPr>
        <w:t>Economic &amp; Political Weekly</w:t>
      </w:r>
      <w:r w:rsidRPr="003261B8">
        <w:rPr>
          <w:rFonts w:cstheme="minorHAnsi"/>
          <w:color w:val="000000" w:themeColor="text1"/>
          <w:sz w:val="18"/>
          <w:szCs w:val="18"/>
          <w:lang w:val="en-GB"/>
        </w:rPr>
        <w:t>, Vol XLVI No. 53, 31 December 2011.</w:t>
      </w:r>
    </w:p>
  </w:footnote>
  <w:footnote w:id="30">
    <w:p w:rsidR="00FA0CCB" w:rsidRPr="003261B8" w:rsidRDefault="00FA0CCB" w:rsidP="00001F6A">
      <w:pPr>
        <w:pStyle w:val="FootnoteText"/>
        <w:jc w:val="both"/>
        <w:rPr>
          <w:rFonts w:cstheme="minorHAnsi"/>
          <w:color w:val="000000" w:themeColor="text1"/>
          <w:sz w:val="18"/>
          <w:szCs w:val="18"/>
          <w:lang w:val="en-GB"/>
        </w:rPr>
      </w:pPr>
      <w:r w:rsidRPr="003261B8">
        <w:rPr>
          <w:rStyle w:val="FootnoteReference"/>
          <w:rFonts w:cstheme="minorHAnsi"/>
          <w:color w:val="000000" w:themeColor="text1"/>
          <w:sz w:val="18"/>
          <w:szCs w:val="18"/>
          <w:lang w:val="en-GB"/>
        </w:rPr>
        <w:footnoteRef/>
      </w:r>
      <w:r w:rsidRPr="003261B8">
        <w:rPr>
          <w:rFonts w:cstheme="minorHAnsi"/>
          <w:color w:val="000000" w:themeColor="text1"/>
          <w:sz w:val="18"/>
          <w:szCs w:val="18"/>
          <w:lang w:val="en-GB"/>
        </w:rPr>
        <w:t xml:space="preserve"> See: </w:t>
      </w:r>
      <w:hyperlink r:id="rId7" w:history="1">
        <w:r w:rsidRPr="003261B8">
          <w:rPr>
            <w:rStyle w:val="Hyperlink"/>
            <w:rFonts w:cstheme="minorHAnsi"/>
            <w:color w:val="000000" w:themeColor="text1"/>
            <w:sz w:val="18"/>
            <w:szCs w:val="18"/>
            <w:lang w:val="en-GB"/>
          </w:rPr>
          <w:t>http://www.counterview.net/2014/09/human-rights-watch-wants-indias.html</w:t>
        </w:r>
      </w:hyperlink>
      <w:r w:rsidRPr="003261B8">
        <w:rPr>
          <w:color w:val="000000" w:themeColor="text1"/>
          <w:sz w:val="18"/>
          <w:szCs w:val="18"/>
        </w:rPr>
        <w:t>.</w:t>
      </w:r>
      <w:r w:rsidRPr="003261B8">
        <w:rPr>
          <w:rFonts w:cstheme="minorHAnsi"/>
          <w:color w:val="000000" w:themeColor="text1"/>
          <w:sz w:val="18"/>
          <w:szCs w:val="18"/>
          <w:lang w:val="en-GB"/>
        </w:rPr>
        <w:t xml:space="preserve">  </w:t>
      </w:r>
    </w:p>
  </w:footnote>
  <w:footnote w:id="31">
    <w:p w:rsidR="00FA0CCB" w:rsidRPr="003261B8" w:rsidRDefault="00FA0CCB" w:rsidP="00CB5AAB">
      <w:pPr>
        <w:spacing w:after="0" w:line="240" w:lineRule="auto"/>
        <w:jc w:val="both"/>
        <w:rPr>
          <w:rFonts w:cstheme="minorHAnsi"/>
          <w:color w:val="000000" w:themeColor="text1"/>
          <w:sz w:val="18"/>
          <w:szCs w:val="18"/>
          <w:lang w:val="en-GB"/>
        </w:rPr>
      </w:pPr>
      <w:r w:rsidRPr="003261B8">
        <w:rPr>
          <w:rStyle w:val="FootnoteReference"/>
          <w:rFonts w:cstheme="minorHAnsi"/>
          <w:color w:val="000000" w:themeColor="text1"/>
          <w:sz w:val="18"/>
          <w:szCs w:val="18"/>
          <w:lang w:val="en-GB"/>
        </w:rPr>
        <w:footnoteRef/>
      </w:r>
      <w:r w:rsidRPr="003261B8">
        <w:rPr>
          <w:rFonts w:cstheme="minorHAnsi"/>
          <w:color w:val="000000" w:themeColor="text1"/>
          <w:sz w:val="18"/>
          <w:szCs w:val="18"/>
          <w:lang w:val="en-GB"/>
        </w:rPr>
        <w:t xml:space="preserve"> </w:t>
      </w:r>
      <w:r w:rsidRPr="003261B8">
        <w:rPr>
          <w:rFonts w:cstheme="minorHAnsi"/>
          <w:i/>
          <w:color w:val="000000" w:themeColor="text1"/>
          <w:sz w:val="18"/>
          <w:szCs w:val="18"/>
          <w:shd w:val="clear" w:color="auto" w:fill="FFFFFF"/>
          <w:lang w:val="en-GB"/>
        </w:rPr>
        <w:t>The Hindu</w:t>
      </w:r>
      <w:r w:rsidRPr="003261B8">
        <w:rPr>
          <w:rFonts w:cstheme="minorHAnsi"/>
          <w:color w:val="000000" w:themeColor="text1"/>
          <w:sz w:val="18"/>
          <w:szCs w:val="18"/>
          <w:shd w:val="clear" w:color="auto" w:fill="FFFFFF"/>
          <w:lang w:val="en-GB"/>
        </w:rPr>
        <w:t>, 6 January 2015</w:t>
      </w:r>
      <w:r w:rsidRPr="003261B8">
        <w:rPr>
          <w:rFonts w:cstheme="minorHAnsi"/>
          <w:color w:val="000000" w:themeColor="text1"/>
          <w:sz w:val="18"/>
          <w:szCs w:val="18"/>
          <w:lang w:val="en-GB"/>
        </w:rPr>
        <w:t>.</w:t>
      </w:r>
    </w:p>
  </w:footnote>
  <w:footnote w:id="32">
    <w:p w:rsidR="00FA0CCB" w:rsidRPr="003261B8" w:rsidRDefault="00FA0CCB" w:rsidP="002D4572">
      <w:pPr>
        <w:spacing w:after="0" w:line="240" w:lineRule="auto"/>
        <w:jc w:val="both"/>
        <w:rPr>
          <w:rFonts w:cstheme="minorHAnsi"/>
          <w:b/>
          <w:color w:val="000000" w:themeColor="text1"/>
          <w:sz w:val="18"/>
          <w:szCs w:val="18"/>
          <w:lang w:val="en-GB"/>
        </w:rPr>
      </w:pPr>
      <w:r w:rsidRPr="003261B8">
        <w:rPr>
          <w:rStyle w:val="FootnoteReference"/>
          <w:rFonts w:cstheme="minorHAnsi"/>
          <w:color w:val="000000" w:themeColor="text1"/>
          <w:sz w:val="18"/>
          <w:szCs w:val="18"/>
          <w:lang w:val="en-GB"/>
        </w:rPr>
        <w:footnoteRef/>
      </w:r>
      <w:r w:rsidRPr="003261B8">
        <w:rPr>
          <w:rFonts w:cstheme="minorHAnsi"/>
          <w:color w:val="000000" w:themeColor="text1"/>
          <w:sz w:val="18"/>
          <w:szCs w:val="18"/>
          <w:lang w:val="en-GB"/>
        </w:rPr>
        <w:t xml:space="preserve"> </w:t>
      </w:r>
      <w:proofErr w:type="spellStart"/>
      <w:r w:rsidRPr="003261B8">
        <w:rPr>
          <w:rFonts w:cstheme="minorHAnsi"/>
          <w:color w:val="000000" w:themeColor="text1"/>
          <w:sz w:val="18"/>
          <w:szCs w:val="18"/>
          <w:lang w:val="en-GB"/>
        </w:rPr>
        <w:t>Surabhi</w:t>
      </w:r>
      <w:proofErr w:type="spellEnd"/>
      <w:r w:rsidRPr="003261B8">
        <w:rPr>
          <w:rFonts w:cstheme="minorHAnsi"/>
          <w:color w:val="000000" w:themeColor="text1"/>
          <w:sz w:val="18"/>
          <w:szCs w:val="18"/>
          <w:lang w:val="en-GB"/>
        </w:rPr>
        <w:t xml:space="preserve"> Chopra, “National Security Laws in India: The </w:t>
      </w:r>
      <w:proofErr w:type="spellStart"/>
      <w:r w:rsidRPr="003261B8">
        <w:rPr>
          <w:rFonts w:cstheme="minorHAnsi"/>
          <w:color w:val="000000" w:themeColor="text1"/>
          <w:sz w:val="18"/>
          <w:szCs w:val="18"/>
          <w:lang w:val="en-GB"/>
        </w:rPr>
        <w:t>Unraveling</w:t>
      </w:r>
      <w:proofErr w:type="spellEnd"/>
      <w:r w:rsidRPr="003261B8">
        <w:rPr>
          <w:rFonts w:cstheme="minorHAnsi"/>
          <w:color w:val="000000" w:themeColor="text1"/>
          <w:sz w:val="18"/>
          <w:szCs w:val="18"/>
          <w:lang w:val="en-GB"/>
        </w:rPr>
        <w:t xml:space="preserve"> of Constitutional Constraints,” </w:t>
      </w:r>
      <w:r w:rsidRPr="003261B8">
        <w:rPr>
          <w:rFonts w:cstheme="minorHAnsi"/>
          <w:i/>
          <w:color w:val="000000" w:themeColor="text1"/>
          <w:sz w:val="18"/>
          <w:szCs w:val="18"/>
          <w:lang w:val="en-GB"/>
        </w:rPr>
        <w:t>Oregon Review of International Law</w:t>
      </w:r>
      <w:r w:rsidRPr="003261B8">
        <w:rPr>
          <w:rFonts w:cstheme="minorHAnsi"/>
          <w:color w:val="000000" w:themeColor="text1"/>
          <w:sz w:val="18"/>
          <w:szCs w:val="18"/>
          <w:lang w:val="en-GB"/>
        </w:rPr>
        <w:t xml:space="preserve"> 16(1), Forthcoming (</w:t>
      </w:r>
      <w:hyperlink r:id="rId8" w:history="1">
        <w:r w:rsidRPr="003261B8">
          <w:rPr>
            <w:rStyle w:val="Hyperlink"/>
            <w:rFonts w:cstheme="minorHAnsi"/>
            <w:sz w:val="18"/>
            <w:szCs w:val="18"/>
            <w:lang w:val="en-GB"/>
          </w:rPr>
          <w:t>http://papers.ssrn.com/sol3/papers.cfm?abstract_id=2441652</w:t>
        </w:r>
      </w:hyperlink>
      <w:r w:rsidRPr="003261B8">
        <w:rPr>
          <w:rFonts w:cstheme="minorHAnsi"/>
          <w:color w:val="000000" w:themeColor="text1"/>
          <w:sz w:val="18"/>
          <w:szCs w:val="18"/>
          <w:lang w:val="en-GB"/>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CB" w:rsidRPr="000E4B18" w:rsidRDefault="00FA0CCB" w:rsidP="000871FA">
    <w:pPr>
      <w:pStyle w:val="Header"/>
      <w:jc w:val="center"/>
      <w:rPr>
        <w:rFonts w:ascii="Calibri" w:eastAsia="Calibri" w:hAnsi="Calibri" w:cs="Calibri"/>
        <w:lang w:val="en-GB"/>
      </w:rPr>
    </w:pPr>
    <w:r w:rsidRPr="000E4B18">
      <w:rPr>
        <w:rFonts w:ascii="Calibri" w:eastAsia="Calibri" w:hAnsi="Calibri" w:cs="Calibri"/>
        <w:lang w:val="en-GB"/>
      </w:rPr>
      <w:t>International</w:t>
    </w:r>
    <w:r>
      <w:rPr>
        <w:rFonts w:ascii="Arial" w:hAnsi="Arial"/>
        <w:szCs w:val="24"/>
      </w:rPr>
      <w:t xml:space="preserve"> </w:t>
    </w:r>
    <w:r w:rsidRPr="000E4B18">
      <w:rPr>
        <w:rFonts w:ascii="Calibri" w:eastAsia="Calibri" w:hAnsi="Calibri" w:cs="Calibri"/>
        <w:lang w:val="en-GB"/>
      </w:rPr>
      <w:t>Research Seminar “Civil Society and Non-Governmental Organizations in Autonomous Regions: Roles and Responsibilities”</w:t>
    </w:r>
  </w:p>
  <w:p w:rsidR="00FA0CCB" w:rsidRPr="000E4B18" w:rsidRDefault="00FA0CCB" w:rsidP="000871FA">
    <w:pPr>
      <w:pStyle w:val="Header"/>
      <w:jc w:val="center"/>
      <w:rPr>
        <w:rFonts w:ascii="Calibri" w:eastAsia="Calibri" w:hAnsi="Calibri" w:cs="Calibri"/>
        <w:lang w:val="en-GB"/>
      </w:rPr>
    </w:pPr>
    <w:r w:rsidRPr="000E4B18">
      <w:rPr>
        <w:rFonts w:ascii="Calibri" w:eastAsia="Calibri" w:hAnsi="Calibri" w:cs="Calibri"/>
        <w:lang w:val="en-GB"/>
      </w:rPr>
      <w:t>(New York, 1</w:t>
    </w:r>
    <w:r w:rsidRPr="00AF0071">
      <w:rPr>
        <w:rFonts w:ascii="Calibri" w:eastAsia="Calibri" w:hAnsi="Calibri" w:cs="Calibri"/>
        <w:vertAlign w:val="superscript"/>
        <w:lang w:val="en-GB"/>
      </w:rPr>
      <w:t>st</w:t>
    </w:r>
    <w:r>
      <w:rPr>
        <w:rFonts w:ascii="Calibri" w:eastAsia="Calibri" w:hAnsi="Calibri" w:cs="Calibri"/>
        <w:lang w:val="en-GB"/>
      </w:rPr>
      <w:t xml:space="preserve"> </w:t>
    </w:r>
    <w:r w:rsidRPr="000E4B18">
      <w:rPr>
        <w:rFonts w:ascii="Calibri" w:eastAsia="Calibri" w:hAnsi="Calibri" w:cs="Calibri"/>
        <w:lang w:val="en-GB"/>
      </w:rPr>
      <w:t>June 2015)</w:t>
    </w:r>
  </w:p>
  <w:p w:rsidR="00FA0CCB" w:rsidRPr="000871FA" w:rsidRDefault="00FA0CCB" w:rsidP="000871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22E8E"/>
    <w:multiLevelType w:val="hybridMultilevel"/>
    <w:tmpl w:val="3DFAF2EC"/>
    <w:lvl w:ilvl="0" w:tplc="100C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A4184"/>
    <w:multiLevelType w:val="hybridMultilevel"/>
    <w:tmpl w:val="468A9FBE"/>
    <w:lvl w:ilvl="0" w:tplc="A3986C4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3D7F67B7"/>
    <w:multiLevelType w:val="multilevel"/>
    <w:tmpl w:val="3260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ED4202"/>
    <w:multiLevelType w:val="multilevel"/>
    <w:tmpl w:val="EE2828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22B09"/>
    <w:multiLevelType w:val="hybridMultilevel"/>
    <w:tmpl w:val="EF809E16"/>
    <w:lvl w:ilvl="0" w:tplc="B4943A38">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6A0F18C5"/>
    <w:multiLevelType w:val="hybridMultilevel"/>
    <w:tmpl w:val="B7B8AABA"/>
    <w:lvl w:ilvl="0" w:tplc="19567728">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rsids>
    <w:rsidRoot w:val="00AB7132"/>
    <w:rsid w:val="00001F6A"/>
    <w:rsid w:val="00012BF6"/>
    <w:rsid w:val="0003410E"/>
    <w:rsid w:val="00053C36"/>
    <w:rsid w:val="0005467C"/>
    <w:rsid w:val="00061982"/>
    <w:rsid w:val="000660F0"/>
    <w:rsid w:val="000871FA"/>
    <w:rsid w:val="000877C4"/>
    <w:rsid w:val="00095F74"/>
    <w:rsid w:val="000B2396"/>
    <w:rsid w:val="000D6CEA"/>
    <w:rsid w:val="000E6514"/>
    <w:rsid w:val="000F127E"/>
    <w:rsid w:val="000F2188"/>
    <w:rsid w:val="000F65C9"/>
    <w:rsid w:val="0011257F"/>
    <w:rsid w:val="00115A4F"/>
    <w:rsid w:val="001209DF"/>
    <w:rsid w:val="0012608D"/>
    <w:rsid w:val="001317E9"/>
    <w:rsid w:val="00133E66"/>
    <w:rsid w:val="00136994"/>
    <w:rsid w:val="00140C22"/>
    <w:rsid w:val="0014244F"/>
    <w:rsid w:val="0014479F"/>
    <w:rsid w:val="00154FCF"/>
    <w:rsid w:val="00167B34"/>
    <w:rsid w:val="001831BB"/>
    <w:rsid w:val="00184421"/>
    <w:rsid w:val="001939EB"/>
    <w:rsid w:val="001948FB"/>
    <w:rsid w:val="00197541"/>
    <w:rsid w:val="001C4CF5"/>
    <w:rsid w:val="001C74B4"/>
    <w:rsid w:val="001D5EF5"/>
    <w:rsid w:val="001E612A"/>
    <w:rsid w:val="001E6B9E"/>
    <w:rsid w:val="001F3A47"/>
    <w:rsid w:val="001F3A8E"/>
    <w:rsid w:val="001F4971"/>
    <w:rsid w:val="002017EE"/>
    <w:rsid w:val="00203722"/>
    <w:rsid w:val="00205401"/>
    <w:rsid w:val="0021118B"/>
    <w:rsid w:val="00224B2D"/>
    <w:rsid w:val="002277A0"/>
    <w:rsid w:val="002326F2"/>
    <w:rsid w:val="0023383F"/>
    <w:rsid w:val="0023390F"/>
    <w:rsid w:val="002348D7"/>
    <w:rsid w:val="0027109A"/>
    <w:rsid w:val="00273A21"/>
    <w:rsid w:val="00281FFE"/>
    <w:rsid w:val="00292BEC"/>
    <w:rsid w:val="002930A5"/>
    <w:rsid w:val="00296A35"/>
    <w:rsid w:val="002A75B4"/>
    <w:rsid w:val="002C4214"/>
    <w:rsid w:val="002C667E"/>
    <w:rsid w:val="002C7A17"/>
    <w:rsid w:val="002D4572"/>
    <w:rsid w:val="002D5899"/>
    <w:rsid w:val="002E73FB"/>
    <w:rsid w:val="002F7C05"/>
    <w:rsid w:val="00303561"/>
    <w:rsid w:val="00325219"/>
    <w:rsid w:val="003261B8"/>
    <w:rsid w:val="00366B1F"/>
    <w:rsid w:val="003706BB"/>
    <w:rsid w:val="003730E4"/>
    <w:rsid w:val="00377F9D"/>
    <w:rsid w:val="003943DD"/>
    <w:rsid w:val="003C0B60"/>
    <w:rsid w:val="003D0A01"/>
    <w:rsid w:val="003D7A67"/>
    <w:rsid w:val="0040121F"/>
    <w:rsid w:val="00413054"/>
    <w:rsid w:val="004146F1"/>
    <w:rsid w:val="00426675"/>
    <w:rsid w:val="004360E5"/>
    <w:rsid w:val="0044055C"/>
    <w:rsid w:val="0044670A"/>
    <w:rsid w:val="004567D1"/>
    <w:rsid w:val="004647A1"/>
    <w:rsid w:val="00466E6D"/>
    <w:rsid w:val="00470DA5"/>
    <w:rsid w:val="004723AE"/>
    <w:rsid w:val="00490758"/>
    <w:rsid w:val="004A29DF"/>
    <w:rsid w:val="004C2BAD"/>
    <w:rsid w:val="004C5226"/>
    <w:rsid w:val="004C78C4"/>
    <w:rsid w:val="004E387E"/>
    <w:rsid w:val="004E5A9C"/>
    <w:rsid w:val="004F61DE"/>
    <w:rsid w:val="00506518"/>
    <w:rsid w:val="00513840"/>
    <w:rsid w:val="00523E60"/>
    <w:rsid w:val="0054283A"/>
    <w:rsid w:val="00551A9F"/>
    <w:rsid w:val="005527E4"/>
    <w:rsid w:val="0057051B"/>
    <w:rsid w:val="005872F3"/>
    <w:rsid w:val="00591CD1"/>
    <w:rsid w:val="00592FC4"/>
    <w:rsid w:val="00593836"/>
    <w:rsid w:val="005A4FCB"/>
    <w:rsid w:val="005C68B3"/>
    <w:rsid w:val="005D0B93"/>
    <w:rsid w:val="005D50A9"/>
    <w:rsid w:val="005D6312"/>
    <w:rsid w:val="005E67D2"/>
    <w:rsid w:val="005F13E3"/>
    <w:rsid w:val="005F3556"/>
    <w:rsid w:val="005F7939"/>
    <w:rsid w:val="0060610C"/>
    <w:rsid w:val="006513AC"/>
    <w:rsid w:val="00654761"/>
    <w:rsid w:val="00660967"/>
    <w:rsid w:val="00671A46"/>
    <w:rsid w:val="0068416E"/>
    <w:rsid w:val="0069307F"/>
    <w:rsid w:val="006B7D64"/>
    <w:rsid w:val="006C1BCF"/>
    <w:rsid w:val="006D6D5D"/>
    <w:rsid w:val="006F0E04"/>
    <w:rsid w:val="006F183D"/>
    <w:rsid w:val="006F2C7D"/>
    <w:rsid w:val="006F584A"/>
    <w:rsid w:val="006F7E2E"/>
    <w:rsid w:val="007001A2"/>
    <w:rsid w:val="00701888"/>
    <w:rsid w:val="00713B44"/>
    <w:rsid w:val="007208D4"/>
    <w:rsid w:val="007224DB"/>
    <w:rsid w:val="00727F90"/>
    <w:rsid w:val="00732605"/>
    <w:rsid w:val="00732C7B"/>
    <w:rsid w:val="00733AFC"/>
    <w:rsid w:val="00736943"/>
    <w:rsid w:val="00736FBE"/>
    <w:rsid w:val="00740A07"/>
    <w:rsid w:val="00776811"/>
    <w:rsid w:val="00781A55"/>
    <w:rsid w:val="007A3C86"/>
    <w:rsid w:val="007B07F2"/>
    <w:rsid w:val="007B7F2D"/>
    <w:rsid w:val="007C430C"/>
    <w:rsid w:val="007C536D"/>
    <w:rsid w:val="007D269D"/>
    <w:rsid w:val="007E5480"/>
    <w:rsid w:val="00803EC2"/>
    <w:rsid w:val="008177F9"/>
    <w:rsid w:val="00832290"/>
    <w:rsid w:val="0083304D"/>
    <w:rsid w:val="008369BF"/>
    <w:rsid w:val="008432E6"/>
    <w:rsid w:val="00854703"/>
    <w:rsid w:val="008613C4"/>
    <w:rsid w:val="008676C1"/>
    <w:rsid w:val="00885D1F"/>
    <w:rsid w:val="00890771"/>
    <w:rsid w:val="00891F6B"/>
    <w:rsid w:val="00892036"/>
    <w:rsid w:val="0089723F"/>
    <w:rsid w:val="008B0675"/>
    <w:rsid w:val="008B2574"/>
    <w:rsid w:val="008E282F"/>
    <w:rsid w:val="008F00A8"/>
    <w:rsid w:val="0091222C"/>
    <w:rsid w:val="00916B3D"/>
    <w:rsid w:val="00920679"/>
    <w:rsid w:val="00931CC0"/>
    <w:rsid w:val="00943BA7"/>
    <w:rsid w:val="00943DE2"/>
    <w:rsid w:val="009456D2"/>
    <w:rsid w:val="009549E7"/>
    <w:rsid w:val="00961876"/>
    <w:rsid w:val="00961B50"/>
    <w:rsid w:val="009754D8"/>
    <w:rsid w:val="0098476B"/>
    <w:rsid w:val="00990551"/>
    <w:rsid w:val="009C0A31"/>
    <w:rsid w:val="009D13A5"/>
    <w:rsid w:val="009F137E"/>
    <w:rsid w:val="009F4879"/>
    <w:rsid w:val="009F48AC"/>
    <w:rsid w:val="00A03E5D"/>
    <w:rsid w:val="00A204A9"/>
    <w:rsid w:val="00A26626"/>
    <w:rsid w:val="00A36393"/>
    <w:rsid w:val="00A42529"/>
    <w:rsid w:val="00A515C7"/>
    <w:rsid w:val="00A5304F"/>
    <w:rsid w:val="00A5798A"/>
    <w:rsid w:val="00A666D3"/>
    <w:rsid w:val="00A73656"/>
    <w:rsid w:val="00A97D50"/>
    <w:rsid w:val="00AB7132"/>
    <w:rsid w:val="00AC1A77"/>
    <w:rsid w:val="00AC2C70"/>
    <w:rsid w:val="00AC41F3"/>
    <w:rsid w:val="00AC7C23"/>
    <w:rsid w:val="00AD36ED"/>
    <w:rsid w:val="00AD7D43"/>
    <w:rsid w:val="00AE0968"/>
    <w:rsid w:val="00AF0071"/>
    <w:rsid w:val="00AF2503"/>
    <w:rsid w:val="00AF526B"/>
    <w:rsid w:val="00B0091F"/>
    <w:rsid w:val="00B05D66"/>
    <w:rsid w:val="00B31798"/>
    <w:rsid w:val="00B3523A"/>
    <w:rsid w:val="00B353BB"/>
    <w:rsid w:val="00B36BD3"/>
    <w:rsid w:val="00B46A0D"/>
    <w:rsid w:val="00B515FC"/>
    <w:rsid w:val="00B52474"/>
    <w:rsid w:val="00B533E5"/>
    <w:rsid w:val="00B53A23"/>
    <w:rsid w:val="00B70EA9"/>
    <w:rsid w:val="00B720BA"/>
    <w:rsid w:val="00B766EA"/>
    <w:rsid w:val="00B86C93"/>
    <w:rsid w:val="00B90A3C"/>
    <w:rsid w:val="00B91198"/>
    <w:rsid w:val="00B92F3C"/>
    <w:rsid w:val="00B94F57"/>
    <w:rsid w:val="00BA4E7D"/>
    <w:rsid w:val="00BA4F12"/>
    <w:rsid w:val="00BC0D6C"/>
    <w:rsid w:val="00BC166E"/>
    <w:rsid w:val="00BC4DDE"/>
    <w:rsid w:val="00BD2944"/>
    <w:rsid w:val="00BD5705"/>
    <w:rsid w:val="00BD70F4"/>
    <w:rsid w:val="00C1363D"/>
    <w:rsid w:val="00C21AFB"/>
    <w:rsid w:val="00C407AF"/>
    <w:rsid w:val="00C40C3F"/>
    <w:rsid w:val="00C52D8D"/>
    <w:rsid w:val="00C57744"/>
    <w:rsid w:val="00C61705"/>
    <w:rsid w:val="00CA0963"/>
    <w:rsid w:val="00CA6A91"/>
    <w:rsid w:val="00CB5AAB"/>
    <w:rsid w:val="00CC2AD4"/>
    <w:rsid w:val="00CD2C09"/>
    <w:rsid w:val="00CD4144"/>
    <w:rsid w:val="00D03ECA"/>
    <w:rsid w:val="00D2174E"/>
    <w:rsid w:val="00D33AC6"/>
    <w:rsid w:val="00D42753"/>
    <w:rsid w:val="00D42D91"/>
    <w:rsid w:val="00D469A8"/>
    <w:rsid w:val="00D47947"/>
    <w:rsid w:val="00D623A4"/>
    <w:rsid w:val="00D70CA5"/>
    <w:rsid w:val="00D81533"/>
    <w:rsid w:val="00D8452C"/>
    <w:rsid w:val="00D96A0E"/>
    <w:rsid w:val="00DA191E"/>
    <w:rsid w:val="00DB13A7"/>
    <w:rsid w:val="00DB4FF3"/>
    <w:rsid w:val="00DB594D"/>
    <w:rsid w:val="00DE613B"/>
    <w:rsid w:val="00DE7555"/>
    <w:rsid w:val="00DF26E8"/>
    <w:rsid w:val="00DF7E52"/>
    <w:rsid w:val="00E076D3"/>
    <w:rsid w:val="00E1036B"/>
    <w:rsid w:val="00E12108"/>
    <w:rsid w:val="00E12D67"/>
    <w:rsid w:val="00E148C3"/>
    <w:rsid w:val="00E253F2"/>
    <w:rsid w:val="00E2555E"/>
    <w:rsid w:val="00E3397A"/>
    <w:rsid w:val="00E42FA4"/>
    <w:rsid w:val="00E46A9E"/>
    <w:rsid w:val="00E47B70"/>
    <w:rsid w:val="00E50A9F"/>
    <w:rsid w:val="00E5387C"/>
    <w:rsid w:val="00E65A88"/>
    <w:rsid w:val="00E714CA"/>
    <w:rsid w:val="00E73291"/>
    <w:rsid w:val="00E76776"/>
    <w:rsid w:val="00E83F6B"/>
    <w:rsid w:val="00E87D5C"/>
    <w:rsid w:val="00E96DEF"/>
    <w:rsid w:val="00EA0F1F"/>
    <w:rsid w:val="00EA0F80"/>
    <w:rsid w:val="00EA3E81"/>
    <w:rsid w:val="00EB3028"/>
    <w:rsid w:val="00EB5D34"/>
    <w:rsid w:val="00EC33A5"/>
    <w:rsid w:val="00EC669B"/>
    <w:rsid w:val="00ED0BB1"/>
    <w:rsid w:val="00ED23D2"/>
    <w:rsid w:val="00EE2A7B"/>
    <w:rsid w:val="00EF2EEC"/>
    <w:rsid w:val="00F141A4"/>
    <w:rsid w:val="00F158DB"/>
    <w:rsid w:val="00F307FB"/>
    <w:rsid w:val="00F338F0"/>
    <w:rsid w:val="00F50488"/>
    <w:rsid w:val="00F5247D"/>
    <w:rsid w:val="00F80ED0"/>
    <w:rsid w:val="00F91F85"/>
    <w:rsid w:val="00FA0CCB"/>
    <w:rsid w:val="00FA1944"/>
    <w:rsid w:val="00FA2788"/>
    <w:rsid w:val="00FC550C"/>
    <w:rsid w:val="00FC5C8F"/>
    <w:rsid w:val="00FE0593"/>
    <w:rsid w:val="00FE12D0"/>
    <w:rsid w:val="00FF544E"/>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E6D"/>
  </w:style>
  <w:style w:type="paragraph" w:styleId="Heading1">
    <w:name w:val="heading 1"/>
    <w:basedOn w:val="Normal"/>
    <w:link w:val="Heading1Char"/>
    <w:uiPriority w:val="9"/>
    <w:qFormat/>
    <w:rsid w:val="00861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98A"/>
  </w:style>
  <w:style w:type="paragraph" w:styleId="Footer">
    <w:name w:val="footer"/>
    <w:basedOn w:val="Normal"/>
    <w:link w:val="FooterChar"/>
    <w:uiPriority w:val="99"/>
    <w:unhideWhenUsed/>
    <w:rsid w:val="00A5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98A"/>
  </w:style>
  <w:style w:type="paragraph" w:styleId="EndnoteText">
    <w:name w:val="endnote text"/>
    <w:basedOn w:val="Normal"/>
    <w:link w:val="EndnoteTextChar"/>
    <w:uiPriority w:val="99"/>
    <w:unhideWhenUsed/>
    <w:rsid w:val="00593836"/>
    <w:pPr>
      <w:spacing w:after="0" w:line="240" w:lineRule="auto"/>
    </w:pPr>
    <w:rPr>
      <w:sz w:val="20"/>
      <w:szCs w:val="20"/>
    </w:rPr>
  </w:style>
  <w:style w:type="character" w:customStyle="1" w:styleId="EndnoteTextChar">
    <w:name w:val="Endnote Text Char"/>
    <w:basedOn w:val="DefaultParagraphFont"/>
    <w:link w:val="EndnoteText"/>
    <w:uiPriority w:val="99"/>
    <w:rsid w:val="00593836"/>
    <w:rPr>
      <w:sz w:val="20"/>
      <w:szCs w:val="20"/>
    </w:rPr>
  </w:style>
  <w:style w:type="character" w:styleId="EndnoteReference">
    <w:name w:val="endnote reference"/>
    <w:basedOn w:val="DefaultParagraphFont"/>
    <w:uiPriority w:val="99"/>
    <w:unhideWhenUsed/>
    <w:rsid w:val="00593836"/>
    <w:rPr>
      <w:vertAlign w:val="superscript"/>
    </w:rPr>
  </w:style>
  <w:style w:type="character" w:customStyle="1" w:styleId="EndnoteTextChar1">
    <w:name w:val="Endnote Text Char1"/>
    <w:basedOn w:val="DefaultParagraphFont"/>
    <w:rsid w:val="00E96DEF"/>
    <w:rPr>
      <w:lang w:val="en-GB"/>
    </w:rPr>
  </w:style>
  <w:style w:type="paragraph" w:styleId="ListParagraph">
    <w:name w:val="List Paragraph"/>
    <w:basedOn w:val="Normal"/>
    <w:uiPriority w:val="34"/>
    <w:qFormat/>
    <w:rsid w:val="00551A9F"/>
    <w:pPr>
      <w:ind w:left="720"/>
      <w:contextualSpacing/>
    </w:pPr>
  </w:style>
  <w:style w:type="character" w:customStyle="1" w:styleId="apple-converted-space">
    <w:name w:val="apple-converted-space"/>
    <w:basedOn w:val="DefaultParagraphFont"/>
    <w:rsid w:val="008613C4"/>
  </w:style>
  <w:style w:type="character" w:customStyle="1" w:styleId="Heading1Char">
    <w:name w:val="Heading 1 Char"/>
    <w:basedOn w:val="DefaultParagraphFont"/>
    <w:link w:val="Heading1"/>
    <w:uiPriority w:val="9"/>
    <w:rsid w:val="008613C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F7C05"/>
    <w:rPr>
      <w:color w:val="0000FF"/>
      <w:u w:val="single"/>
    </w:rPr>
  </w:style>
  <w:style w:type="character" w:styleId="Emphasis">
    <w:name w:val="Emphasis"/>
    <w:basedOn w:val="DefaultParagraphFont"/>
    <w:uiPriority w:val="20"/>
    <w:qFormat/>
    <w:rsid w:val="002F7C05"/>
    <w:rPr>
      <w:i/>
      <w:iCs/>
    </w:rPr>
  </w:style>
  <w:style w:type="character" w:customStyle="1" w:styleId="authors">
    <w:name w:val="authors"/>
    <w:basedOn w:val="DefaultParagraphFont"/>
    <w:rsid w:val="00C61705"/>
  </w:style>
  <w:style w:type="character" w:customStyle="1" w:styleId="timestamp">
    <w:name w:val="timestamp"/>
    <w:basedOn w:val="DefaultParagraphFont"/>
    <w:rsid w:val="00C61705"/>
  </w:style>
  <w:style w:type="paragraph" w:customStyle="1" w:styleId="body">
    <w:name w:val="body"/>
    <w:basedOn w:val="Normal"/>
    <w:rsid w:val="00B3179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871FA"/>
    <w:pPr>
      <w:spacing w:after="0" w:line="240" w:lineRule="auto"/>
    </w:pPr>
    <w:rPr>
      <w:sz w:val="20"/>
      <w:szCs w:val="20"/>
    </w:rPr>
  </w:style>
  <w:style w:type="character" w:customStyle="1" w:styleId="FootnoteTextChar">
    <w:name w:val="Footnote Text Char"/>
    <w:basedOn w:val="DefaultParagraphFont"/>
    <w:link w:val="FootnoteText"/>
    <w:uiPriority w:val="99"/>
    <w:rsid w:val="000871FA"/>
    <w:rPr>
      <w:sz w:val="20"/>
      <w:szCs w:val="20"/>
    </w:rPr>
  </w:style>
  <w:style w:type="character" w:styleId="FootnoteReference">
    <w:name w:val="footnote reference"/>
    <w:basedOn w:val="DefaultParagraphFont"/>
    <w:uiPriority w:val="99"/>
    <w:semiHidden/>
    <w:unhideWhenUsed/>
    <w:rsid w:val="000871FA"/>
    <w:rPr>
      <w:vertAlign w:val="superscript"/>
    </w:rPr>
  </w:style>
  <w:style w:type="character" w:customStyle="1" w:styleId="st">
    <w:name w:val="st"/>
    <w:basedOn w:val="DefaultParagraphFont"/>
    <w:rsid w:val="003C0B60"/>
  </w:style>
  <w:style w:type="paragraph" w:styleId="BalloonText">
    <w:name w:val="Balloon Text"/>
    <w:basedOn w:val="Normal"/>
    <w:link w:val="BalloonTextChar"/>
    <w:uiPriority w:val="99"/>
    <w:semiHidden/>
    <w:unhideWhenUsed/>
    <w:rsid w:val="00AC41F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41F3"/>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13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98A"/>
  </w:style>
  <w:style w:type="paragraph" w:styleId="Footer">
    <w:name w:val="footer"/>
    <w:basedOn w:val="Normal"/>
    <w:link w:val="FooterChar"/>
    <w:uiPriority w:val="99"/>
    <w:unhideWhenUsed/>
    <w:rsid w:val="00A57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98A"/>
  </w:style>
  <w:style w:type="paragraph" w:styleId="EndnoteText">
    <w:name w:val="endnote text"/>
    <w:basedOn w:val="Normal"/>
    <w:link w:val="EndnoteTextChar"/>
    <w:uiPriority w:val="99"/>
    <w:unhideWhenUsed/>
    <w:rsid w:val="00593836"/>
    <w:pPr>
      <w:spacing w:after="0" w:line="240" w:lineRule="auto"/>
    </w:pPr>
    <w:rPr>
      <w:sz w:val="20"/>
      <w:szCs w:val="20"/>
    </w:rPr>
  </w:style>
  <w:style w:type="character" w:customStyle="1" w:styleId="EndnoteTextChar">
    <w:name w:val="Endnote Text Char"/>
    <w:basedOn w:val="DefaultParagraphFont"/>
    <w:link w:val="EndnoteText"/>
    <w:uiPriority w:val="99"/>
    <w:rsid w:val="00593836"/>
    <w:rPr>
      <w:sz w:val="20"/>
      <w:szCs w:val="20"/>
    </w:rPr>
  </w:style>
  <w:style w:type="character" w:styleId="EndnoteReference">
    <w:name w:val="endnote reference"/>
    <w:basedOn w:val="DefaultParagraphFont"/>
    <w:uiPriority w:val="99"/>
    <w:unhideWhenUsed/>
    <w:rsid w:val="00593836"/>
    <w:rPr>
      <w:vertAlign w:val="superscript"/>
    </w:rPr>
  </w:style>
  <w:style w:type="character" w:customStyle="1" w:styleId="EndnoteTextChar1">
    <w:name w:val="Endnote Text Char1"/>
    <w:basedOn w:val="DefaultParagraphFont"/>
    <w:rsid w:val="00E96DEF"/>
    <w:rPr>
      <w:lang w:val="en-GB"/>
    </w:rPr>
  </w:style>
  <w:style w:type="paragraph" w:styleId="ListParagraph">
    <w:name w:val="List Paragraph"/>
    <w:basedOn w:val="Normal"/>
    <w:uiPriority w:val="34"/>
    <w:qFormat/>
    <w:rsid w:val="00551A9F"/>
    <w:pPr>
      <w:ind w:left="720"/>
      <w:contextualSpacing/>
    </w:pPr>
  </w:style>
  <w:style w:type="character" w:customStyle="1" w:styleId="apple-converted-space">
    <w:name w:val="apple-converted-space"/>
    <w:basedOn w:val="DefaultParagraphFont"/>
    <w:rsid w:val="008613C4"/>
  </w:style>
  <w:style w:type="character" w:customStyle="1" w:styleId="Heading1Char">
    <w:name w:val="Heading 1 Char"/>
    <w:basedOn w:val="DefaultParagraphFont"/>
    <w:link w:val="Heading1"/>
    <w:uiPriority w:val="9"/>
    <w:rsid w:val="008613C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F7C05"/>
    <w:rPr>
      <w:color w:val="0000FF"/>
      <w:u w:val="single"/>
    </w:rPr>
  </w:style>
  <w:style w:type="character" w:styleId="Emphasis">
    <w:name w:val="Emphasis"/>
    <w:basedOn w:val="DefaultParagraphFont"/>
    <w:uiPriority w:val="20"/>
    <w:qFormat/>
    <w:rsid w:val="002F7C05"/>
    <w:rPr>
      <w:i/>
      <w:iCs/>
    </w:rPr>
  </w:style>
  <w:style w:type="character" w:customStyle="1" w:styleId="authors">
    <w:name w:val="authors"/>
    <w:basedOn w:val="DefaultParagraphFont"/>
    <w:rsid w:val="00C61705"/>
  </w:style>
  <w:style w:type="character" w:customStyle="1" w:styleId="timestamp">
    <w:name w:val="timestamp"/>
    <w:basedOn w:val="DefaultParagraphFont"/>
    <w:rsid w:val="00C61705"/>
  </w:style>
  <w:style w:type="paragraph" w:customStyle="1" w:styleId="body">
    <w:name w:val="body"/>
    <w:basedOn w:val="Normal"/>
    <w:rsid w:val="00B3179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0871FA"/>
    <w:pPr>
      <w:spacing w:after="0" w:line="240" w:lineRule="auto"/>
    </w:pPr>
    <w:rPr>
      <w:sz w:val="20"/>
      <w:szCs w:val="20"/>
    </w:rPr>
  </w:style>
  <w:style w:type="character" w:customStyle="1" w:styleId="FootnoteTextChar">
    <w:name w:val="Footnote Text Char"/>
    <w:basedOn w:val="DefaultParagraphFont"/>
    <w:link w:val="FootnoteText"/>
    <w:uiPriority w:val="99"/>
    <w:rsid w:val="000871FA"/>
    <w:rPr>
      <w:sz w:val="20"/>
      <w:szCs w:val="20"/>
    </w:rPr>
  </w:style>
  <w:style w:type="character" w:styleId="FootnoteReference">
    <w:name w:val="footnote reference"/>
    <w:basedOn w:val="DefaultParagraphFont"/>
    <w:uiPriority w:val="99"/>
    <w:semiHidden/>
    <w:unhideWhenUsed/>
    <w:rsid w:val="000871FA"/>
    <w:rPr>
      <w:vertAlign w:val="superscript"/>
    </w:rPr>
  </w:style>
  <w:style w:type="character" w:customStyle="1" w:styleId="st">
    <w:name w:val="st"/>
    <w:basedOn w:val="DefaultParagraphFont"/>
    <w:rsid w:val="003C0B60"/>
  </w:style>
  <w:style w:type="paragraph" w:styleId="BalloonText">
    <w:name w:val="Balloon Text"/>
    <w:basedOn w:val="Normal"/>
    <w:link w:val="BalloonTextChar"/>
    <w:uiPriority w:val="99"/>
    <w:semiHidden/>
    <w:unhideWhenUsed/>
    <w:rsid w:val="00AC41F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C41F3"/>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agaland" TargetMode="External"/><Relationship Id="rId13" Type="http://schemas.openxmlformats.org/officeDocument/2006/relationships/hyperlink" Target="http://indiankanoon.org/doc/4883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diankanoon.org/doc/108142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diankanoon.org/doc/16883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diankanoon.org/doc/741304/" TargetMode="External"/><Relationship Id="rId4" Type="http://schemas.openxmlformats.org/officeDocument/2006/relationships/settings" Target="settings.xml"/><Relationship Id="rId9" Type="http://schemas.openxmlformats.org/officeDocument/2006/relationships/hyperlink" Target="http://indiankanoon.org/doc/126022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papers.ssrn.com/sol3/papers.cfm?abstract_id=2441652" TargetMode="External"/><Relationship Id="rId3" Type="http://schemas.openxmlformats.org/officeDocument/2006/relationships/hyperlink" Target="http://www.thehindu.com/opinion/lead/adding-fuel-to-the-fire/article5004098.ece" TargetMode="External"/><Relationship Id="rId7" Type="http://schemas.openxmlformats.org/officeDocument/2006/relationships/hyperlink" Target="http://www.counterview.net/2014/09/human-rights-watch-wants-indias.html" TargetMode="External"/><Relationship Id="rId2" Type="http://schemas.openxmlformats.org/officeDocument/2006/relationships/hyperlink" Target="http://www.maroc.ma/en/content/constitution" TargetMode="External"/><Relationship Id="rId1" Type="http://schemas.openxmlformats.org/officeDocument/2006/relationships/hyperlink" Target="http://graduateinstitute.ch/webdav/site/ccdp/shared/6305/CCDP-Working-Paper-4-Civi-Society.pdf" TargetMode="External"/><Relationship Id="rId6" Type="http://schemas.openxmlformats.org/officeDocument/2006/relationships/hyperlink" Target="http://feministsindia.com/women-and-law/justice-verma-submissions/vrinda-grover/" TargetMode="External"/><Relationship Id="rId5" Type="http://schemas.openxmlformats.org/officeDocument/2006/relationships/hyperlink" Target="http://www.epw.in/special-articles/totem-and-taboo-case-secession-clause-indian-constitution.html" TargetMode="External"/><Relationship Id="rId4" Type="http://schemas.openxmlformats.org/officeDocument/2006/relationships/hyperlink" Target="http://www.epw.in/authors/patrick-hoen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5868-8246-421B-A2A4-4CAB54CC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8221</Words>
  <Characters>45217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GCSP IT Dept</Company>
  <LinksUpToDate>false</LinksUpToDate>
  <CharactersWithSpaces>53332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FINAUM</cp:lastModifiedBy>
  <cp:revision>3</cp:revision>
  <dcterms:created xsi:type="dcterms:W3CDTF">2015-06-10T09:49:00Z</dcterms:created>
  <dcterms:modified xsi:type="dcterms:W3CDTF">2015-06-10T10:47:00Z</dcterms:modified>
</cp:coreProperties>
</file>