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A535D" w:rsidRDefault="00F22995" w:rsidP="002A535D">
      <w:pPr>
        <w:jc w:val="center"/>
        <w:rPr>
          <w:b/>
          <w:smallCaps/>
        </w:rPr>
      </w:pPr>
      <w:r w:rsidRPr="002A535D">
        <w:rPr>
          <w:b/>
          <w:smallCaps/>
        </w:rPr>
        <w:t xml:space="preserve">Models </w:t>
      </w:r>
      <w:r w:rsidRPr="002A535D">
        <w:rPr>
          <w:b/>
          <w:smallCaps/>
        </w:rPr>
        <w:t>of Territorial Autonomy</w:t>
      </w:r>
    </w:p>
    <w:p w:rsidR="00000000" w:rsidRPr="002A535D" w:rsidRDefault="00F22995" w:rsidP="002A535D">
      <w:pPr>
        <w:jc w:val="center"/>
        <w:rPr>
          <w:b/>
        </w:rPr>
      </w:pPr>
      <w:r w:rsidRPr="002A535D">
        <w:rPr>
          <w:b/>
        </w:rPr>
        <w:t>Dr</w:t>
      </w:r>
      <w:r w:rsidRPr="002A535D">
        <w:rPr>
          <w:b/>
        </w:rPr>
        <w:t xml:space="preserve"> Stephen Tomblin</w:t>
      </w:r>
      <w:r w:rsidR="002A535D" w:rsidRPr="002A535D">
        <w:rPr>
          <w:rStyle w:val="FootnoteReference"/>
          <w:b/>
        </w:rPr>
        <w:footnoteReference w:id="1"/>
      </w:r>
    </w:p>
    <w:p w:rsidR="00000000" w:rsidRPr="002A535D" w:rsidRDefault="00F22995" w:rsidP="00F22995">
      <w:pPr>
        <w:pStyle w:val="ListParagraph"/>
        <w:numPr>
          <w:ilvl w:val="0"/>
          <w:numId w:val="1"/>
        </w:numPr>
        <w:jc w:val="both"/>
      </w:pPr>
      <w:r w:rsidRPr="002A535D">
        <w:t xml:space="preserve">Regionalization </w:t>
      </w:r>
    </w:p>
    <w:p w:rsidR="00000000" w:rsidRPr="002A535D" w:rsidRDefault="00F22995" w:rsidP="00F22995">
      <w:pPr>
        <w:pStyle w:val="ListParagraph"/>
        <w:numPr>
          <w:ilvl w:val="0"/>
          <w:numId w:val="3"/>
        </w:numPr>
        <w:jc w:val="both"/>
      </w:pPr>
      <w:r w:rsidRPr="002A535D">
        <w:t xml:space="preserve">Slippery </w:t>
      </w:r>
      <w:r>
        <w:t>c</w:t>
      </w:r>
      <w:r w:rsidRPr="002A535D">
        <w:t>oncept with different meanings</w:t>
      </w:r>
      <w:r w:rsid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3"/>
        </w:numPr>
        <w:jc w:val="both"/>
      </w:pPr>
      <w:r w:rsidRPr="002A535D">
        <w:t>Can be both centralizing while also de</w:t>
      </w:r>
      <w:r w:rsidRPr="002A535D">
        <w:t>centralizing</w:t>
      </w:r>
      <w:r w:rsid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3"/>
        </w:numPr>
        <w:jc w:val="both"/>
      </w:pPr>
      <w:r w:rsidRPr="002A535D">
        <w:t>Involves experimenting with unity-diversity, divergent forms of autonomy, respecting cultural differences without sacrificing democracy or good policy practices</w:t>
      </w:r>
      <w:r w:rsidR="002A535D">
        <w:t>.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>Highlights</w:t>
      </w:r>
    </w:p>
    <w:p w:rsidR="00000000" w:rsidRPr="002A535D" w:rsidRDefault="00F22995" w:rsidP="00F22995">
      <w:pPr>
        <w:pStyle w:val="ListParagraph"/>
        <w:numPr>
          <w:ilvl w:val="0"/>
          <w:numId w:val="2"/>
        </w:numPr>
        <w:jc w:val="both"/>
      </w:pPr>
      <w:r w:rsidRPr="002A535D">
        <w:t xml:space="preserve">Canada interstate federal system </w:t>
      </w:r>
      <w:r w:rsidRPr="002A535D">
        <w:rPr>
          <w:cs/>
          <w:lang w:bidi="mr-IN"/>
        </w:rPr>
        <w:t>–</w:t>
      </w:r>
      <w:r w:rsidRPr="002A535D">
        <w:t xml:space="preserve"> highly decentralized and competitive</w:t>
      </w:r>
      <w:r w:rsid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2"/>
        </w:numPr>
        <w:jc w:val="both"/>
      </w:pPr>
      <w:r w:rsidRPr="002A535D">
        <w:t>Province</w:t>
      </w:r>
      <w:r>
        <w:t xml:space="preserve"> </w:t>
      </w:r>
      <w:r w:rsidRPr="002A535D">
        <w:t>building has persisted and enjoys much autonomy and capacity</w:t>
      </w:r>
      <w:r w:rsid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2"/>
        </w:numPr>
        <w:jc w:val="both"/>
      </w:pPr>
      <w:r w:rsidRPr="002A535D">
        <w:t>No national economy</w:t>
      </w:r>
      <w:r>
        <w:t>:</w:t>
      </w:r>
      <w:r w:rsidRPr="002A535D">
        <w:t xml:space="preserve"> provinces trade more outside than inside</w:t>
      </w:r>
      <w:r w:rsid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2"/>
        </w:numPr>
        <w:jc w:val="both"/>
      </w:pPr>
      <w:r w:rsidRPr="002A535D">
        <w:t>Boundary disputes have persisted and undermine development</w:t>
      </w:r>
      <w:r w:rsid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2"/>
        </w:numPr>
        <w:jc w:val="both"/>
      </w:pPr>
      <w:r w:rsidRPr="002A535D">
        <w:t>Decision</w:t>
      </w:r>
      <w:r>
        <w:t xml:space="preserve"> </w:t>
      </w:r>
      <w:r w:rsidRPr="002A535D">
        <w:t>making more bi</w:t>
      </w:r>
      <w:r w:rsidRPr="002A535D">
        <w:t>lateral than multi</w:t>
      </w:r>
      <w:r w:rsidRPr="002A535D">
        <w:t>lateral</w:t>
      </w:r>
      <w:r w:rsidR="002A535D">
        <w:t>.</w:t>
      </w:r>
      <w:r w:rsidRPr="002A535D">
        <w:t xml:space="preserve"> 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 xml:space="preserve">Development/Underdevelopment </w:t>
      </w:r>
    </w:p>
    <w:p w:rsidR="00000000" w:rsidRPr="002A535D" w:rsidRDefault="00F22995" w:rsidP="00F22995">
      <w:pPr>
        <w:pStyle w:val="ListParagraph"/>
        <w:numPr>
          <w:ilvl w:val="0"/>
          <w:numId w:val="4"/>
        </w:numPr>
        <w:jc w:val="both"/>
      </w:pPr>
      <w:r w:rsidRPr="002A535D">
        <w:t>Competing perspectives/frameworks on Canada Regionalism, regional definition</w:t>
      </w:r>
      <w:r w:rsidR="002A535D">
        <w:t>.</w:t>
      </w:r>
      <w:r w:rsidRPr="002A535D">
        <w:t xml:space="preserve">  </w:t>
      </w:r>
    </w:p>
    <w:p w:rsidR="00000000" w:rsidRPr="002A535D" w:rsidRDefault="00F22995" w:rsidP="00F22995">
      <w:pPr>
        <w:pStyle w:val="ListParagraph"/>
        <w:numPr>
          <w:ilvl w:val="0"/>
          <w:numId w:val="4"/>
        </w:numPr>
        <w:jc w:val="both"/>
      </w:pPr>
      <w:r w:rsidRPr="002A535D">
        <w:t>Canadian Staples Theory - different versions (relational/formal) that focus on “interna</w:t>
      </w:r>
      <w:r w:rsidRPr="002A535D">
        <w:t>l” problems or “external” exploitation</w:t>
      </w:r>
      <w:r w:rsid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4"/>
        </w:numPr>
        <w:jc w:val="both"/>
      </w:pPr>
      <w:r w:rsidRPr="002A535D">
        <w:t>Modernization did not prove “inevitable” and drove province-building phenomenon, efforts to control borders, associational activities, ideas, inst</w:t>
      </w:r>
      <w:r w:rsidRPr="002A535D">
        <w:t>itutions, and interest mobilization</w:t>
      </w:r>
      <w:r w:rsidR="002A535D">
        <w:t>.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 xml:space="preserve">Function Versus Form </w:t>
      </w:r>
    </w:p>
    <w:p w:rsidR="00000000" w:rsidRPr="002A535D" w:rsidRDefault="00F22995" w:rsidP="00F22995">
      <w:pPr>
        <w:pStyle w:val="ListParagraph"/>
        <w:numPr>
          <w:ilvl w:val="0"/>
          <w:numId w:val="5"/>
        </w:numPr>
        <w:jc w:val="both"/>
      </w:pPr>
      <w:r w:rsidRPr="002A535D">
        <w:t>Critical issue in pooling sovereignties is</w:t>
      </w:r>
      <w:r>
        <w:t>:</w:t>
      </w:r>
      <w:r w:rsidRPr="002A535D">
        <w:t xml:space="preserve"> where does power lie and where should it lie?</w:t>
      </w:r>
    </w:p>
    <w:p w:rsidR="00000000" w:rsidRPr="002A535D" w:rsidRDefault="00F22995" w:rsidP="00F22995">
      <w:pPr>
        <w:pStyle w:val="ListParagraph"/>
        <w:numPr>
          <w:ilvl w:val="0"/>
          <w:numId w:val="5"/>
        </w:numPr>
        <w:jc w:val="both"/>
      </w:pPr>
      <w:r w:rsidRPr="002A535D">
        <w:t>Public policy models offer different insights on role of ideas, institutions, and interests</w:t>
      </w:r>
      <w:r w:rsid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5"/>
        </w:numPr>
        <w:jc w:val="both"/>
      </w:pPr>
      <w:r w:rsidRPr="002A535D">
        <w:t>Assumption of functiona</w:t>
      </w:r>
      <w:r w:rsidRPr="002A535D">
        <w:t>lists (policy wonks) in post-war era was that territoriality (whether nation-state borders or federalism) would decline – but these forces have not</w:t>
      </w:r>
      <w:r w:rsid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5"/>
        </w:numPr>
        <w:jc w:val="both"/>
      </w:pPr>
      <w:r w:rsidRPr="002A535D">
        <w:t>Choice of policy instruments ha</w:t>
      </w:r>
      <w:r w:rsidR="002A535D">
        <w:t>s</w:t>
      </w:r>
      <w:r w:rsidRPr="002A535D">
        <w:t xml:space="preserve"> rema</w:t>
      </w:r>
      <w:r w:rsidRPr="002A535D">
        <w:t>ined soft</w:t>
      </w:r>
      <w:r w:rsidR="002A535D">
        <w:t>:</w:t>
      </w:r>
      <w:r w:rsidRPr="002A535D">
        <w:t xml:space="preserve"> for example, the Canadian fiscal federal system relies a great deal on “unconditional” transfers</w:t>
      </w:r>
      <w:r w:rsidR="002A535D">
        <w:t>.</w:t>
      </w:r>
      <w:r w:rsidRPr="002A535D">
        <w:t xml:space="preserve">  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>Territorial–Functional Balances</w:t>
      </w:r>
    </w:p>
    <w:p w:rsidR="00000000" w:rsidRPr="002A535D" w:rsidRDefault="00F22995" w:rsidP="00F22995">
      <w:pPr>
        <w:pStyle w:val="ListParagraph"/>
        <w:numPr>
          <w:ilvl w:val="0"/>
          <w:numId w:val="6"/>
        </w:numPr>
        <w:jc w:val="both"/>
      </w:pPr>
      <w:r w:rsidRPr="002A535D">
        <w:t>Territorial pluralism, old forms have been underestimated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6"/>
        </w:numPr>
        <w:jc w:val="both"/>
      </w:pPr>
      <w:r w:rsidRPr="002A535D">
        <w:t>Examples: America</w:t>
      </w:r>
      <w:r w:rsidRPr="002A535D">
        <w:t>-First; Brexit,  NAFTA; territorial battles in Canada over pipelines, trade, equali</w:t>
      </w:r>
      <w:r w:rsidRPr="002A535D">
        <w:t>zation, decline of multi</w:t>
      </w:r>
      <w:r w:rsidRPr="002A535D">
        <w:t>lateral venues, forms of knowledge construction and rise of bi</w:t>
      </w:r>
      <w:r w:rsidRPr="002A535D">
        <w:t>lateral zero</w:t>
      </w:r>
      <w:r>
        <w:t>-</w:t>
      </w:r>
      <w:r w:rsidRPr="002A535D">
        <w:t>sum conflicts</w:t>
      </w:r>
      <w:r w:rsidR="002A535D" w:rsidRPr="002A535D">
        <w:t>.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 xml:space="preserve">Economic Development 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 w:rsidRPr="002A535D">
        <w:t>Issues of territorial and jurisdictional defen</w:t>
      </w:r>
      <w:r>
        <w:t>c</w:t>
      </w:r>
      <w:r w:rsidRPr="002A535D">
        <w:t>e persist in Canada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 w:rsidRPr="002A535D">
        <w:lastRenderedPageBreak/>
        <w:t>Despite efforts to collaborate and avoid zero</w:t>
      </w:r>
      <w:r>
        <w:t>-</w:t>
      </w:r>
      <w:r w:rsidRPr="002A535D">
        <w:t>sum conflicts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 w:rsidRPr="002A535D">
        <w:t>Provinces own and control natural resources, including energy resources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>
        <w:t>The system h</w:t>
      </w:r>
      <w:r w:rsidRPr="002A535D">
        <w:t>as produced powerful provincial states tied to natural resource dependencies i</w:t>
      </w:r>
      <w:r w:rsidRPr="002A535D">
        <w:t>n economies where most direct employment is in knowledge-service economies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 w:rsidRPr="002A535D">
        <w:t>Canada has had thre</w:t>
      </w:r>
      <w:r w:rsidRPr="002A535D">
        <w:t xml:space="preserve">e national policies, but </w:t>
      </w:r>
      <w:r>
        <w:t xml:space="preserve">the </w:t>
      </w:r>
      <w:r w:rsidRPr="002A535D">
        <w:t xml:space="preserve">idea of having a national policy was abandoned in </w:t>
      </w:r>
      <w:r>
        <w:t xml:space="preserve">the </w:t>
      </w:r>
      <w:r w:rsidRPr="002A535D">
        <w:t xml:space="preserve">1980s and replaced by </w:t>
      </w:r>
      <w:r>
        <w:t>f</w:t>
      </w:r>
      <w:r w:rsidRPr="002A535D">
        <w:t xml:space="preserve">ree </w:t>
      </w:r>
      <w:r>
        <w:t>t</w:t>
      </w:r>
      <w:r w:rsidRPr="002A535D">
        <w:t>rade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 w:rsidRPr="002A535D">
        <w:t>These national policies produced through history much provincial resistance an</w:t>
      </w:r>
      <w:r w:rsidRPr="002A535D">
        <w:t>d suspicion of functionally based policies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7"/>
        </w:numPr>
        <w:jc w:val="both"/>
      </w:pPr>
      <w:r w:rsidRPr="002A535D">
        <w:t xml:space="preserve">Lesson: </w:t>
      </w:r>
      <w:r>
        <w:t>a</w:t>
      </w:r>
      <w:r w:rsidRPr="002A535D">
        <w:t>void using public policy as a political weapon, find ways to focus, engage citizens based on evidence, and build integrated functiona</w:t>
      </w:r>
      <w:r w:rsidRPr="002A535D">
        <w:t xml:space="preserve">l communities rather than territorially divided-competitive societies  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>Pan-</w:t>
      </w:r>
      <w:proofErr w:type="spellStart"/>
      <w:r w:rsidRPr="002A535D">
        <w:t>Canadianism</w:t>
      </w:r>
      <w:proofErr w:type="spellEnd"/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8"/>
        </w:numPr>
        <w:jc w:val="both"/>
      </w:pPr>
      <w:r w:rsidRPr="002A535D">
        <w:t>1957 saw launching of Pan-</w:t>
      </w:r>
      <w:proofErr w:type="spellStart"/>
      <w:r w:rsidRPr="002A535D">
        <w:t>C</w:t>
      </w:r>
      <w:r w:rsidRPr="002A535D">
        <w:t>anadianism</w:t>
      </w:r>
      <w:proofErr w:type="spellEnd"/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8"/>
        </w:numPr>
        <w:jc w:val="both"/>
      </w:pPr>
      <w:r w:rsidRPr="002A535D">
        <w:t>Regional Development policies.</w:t>
      </w:r>
    </w:p>
    <w:p w:rsidR="00000000" w:rsidRPr="002A535D" w:rsidRDefault="00F22995" w:rsidP="00F22995">
      <w:pPr>
        <w:pStyle w:val="ListParagraph"/>
        <w:numPr>
          <w:ilvl w:val="0"/>
          <w:numId w:val="8"/>
        </w:numPr>
        <w:jc w:val="both"/>
      </w:pPr>
      <w:r w:rsidRPr="002A535D">
        <w:t>Tax coordination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8"/>
        </w:numPr>
        <w:jc w:val="both"/>
      </w:pPr>
      <w:r w:rsidRPr="002A535D">
        <w:t>Equalization (unconditional fiscal transfers intended to encourage modernization without fear of domination)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8"/>
        </w:numPr>
        <w:jc w:val="both"/>
      </w:pPr>
      <w:r w:rsidRPr="002A535D">
        <w:t xml:space="preserve">Equalization remains highly controversial and </w:t>
      </w:r>
      <w:r>
        <w:t xml:space="preserve">provincial </w:t>
      </w:r>
      <w:r w:rsidRPr="002A535D">
        <w:t>premiers play for different audiences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8"/>
        </w:numPr>
        <w:jc w:val="both"/>
      </w:pPr>
      <w:r w:rsidRPr="002A535D">
        <w:t>Due to unconditional design has</w:t>
      </w:r>
      <w:r w:rsidRPr="002A535D">
        <w:t xml:space="preserve"> reinforced even further provincial state autonomy</w:t>
      </w:r>
      <w:r w:rsidR="002A535D" w:rsidRPr="002A535D">
        <w:t>.</w:t>
      </w:r>
    </w:p>
    <w:p w:rsidR="00000000" w:rsidRPr="002A535D" w:rsidRDefault="00F22995" w:rsidP="00F22995">
      <w:pPr>
        <w:numPr>
          <w:ilvl w:val="0"/>
          <w:numId w:val="1"/>
        </w:numPr>
        <w:jc w:val="both"/>
      </w:pPr>
      <w:r w:rsidRPr="002A535D">
        <w:t xml:space="preserve">Decentralization </w:t>
      </w:r>
      <w:r>
        <w:t>p</w:t>
      </w:r>
      <w:r w:rsidRPr="002A535D">
        <w:t>ersists</w:t>
      </w:r>
    </w:p>
    <w:p w:rsidR="00000000" w:rsidRPr="002A535D" w:rsidRDefault="00F22995" w:rsidP="00F22995">
      <w:pPr>
        <w:pStyle w:val="ListParagraph"/>
        <w:numPr>
          <w:ilvl w:val="0"/>
          <w:numId w:val="9"/>
        </w:numPr>
        <w:jc w:val="both"/>
      </w:pPr>
      <w:r w:rsidRPr="002A535D">
        <w:t>Canada is one of the most de-centralize</w:t>
      </w:r>
      <w:r w:rsidRPr="002A535D">
        <w:t>d</w:t>
      </w:r>
      <w:r w:rsidRPr="002A535D">
        <w:t xml:space="preserve"> federal systems in world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9"/>
        </w:numPr>
        <w:jc w:val="both"/>
      </w:pPr>
      <w:r>
        <w:t>It o</w:t>
      </w:r>
      <w:r w:rsidRPr="002A535D">
        <w:t xml:space="preserve">perates more like </w:t>
      </w:r>
      <w:r>
        <w:t xml:space="preserve">an </w:t>
      </w:r>
      <w:r w:rsidRPr="002A535D">
        <w:t>international system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9"/>
        </w:numPr>
        <w:jc w:val="both"/>
      </w:pPr>
      <w:r w:rsidRPr="002A535D">
        <w:t>Multi</w:t>
      </w:r>
      <w:r w:rsidRPr="002A535D">
        <w:t xml:space="preserve">lateral, </w:t>
      </w:r>
      <w:r>
        <w:t>p</w:t>
      </w:r>
      <w:r w:rsidRPr="002A535D">
        <w:t>an-Canadian approaches have dec</w:t>
      </w:r>
      <w:r w:rsidRPr="002A535D">
        <w:t>lined (as have resources for popular program</w:t>
      </w:r>
      <w:r>
        <w:t>me</w:t>
      </w:r>
      <w:r w:rsidRPr="002A535D">
        <w:t>s like Medicare)</w:t>
      </w:r>
      <w:r w:rsidR="002A535D" w:rsidRPr="002A535D">
        <w:t>.</w:t>
      </w:r>
    </w:p>
    <w:p w:rsidR="00000000" w:rsidRPr="002A535D" w:rsidRDefault="00F22995" w:rsidP="00F22995">
      <w:pPr>
        <w:pStyle w:val="ListParagraph"/>
        <w:numPr>
          <w:ilvl w:val="0"/>
          <w:numId w:val="9"/>
        </w:numPr>
        <w:jc w:val="both"/>
      </w:pPr>
      <w:r w:rsidRPr="002A535D">
        <w:t>Territorial competition</w:t>
      </w:r>
      <w:r>
        <w:t>,</w:t>
      </w:r>
      <w:r w:rsidRPr="002A535D">
        <w:t xml:space="preserve"> especially in energy-natural resource sectors</w:t>
      </w:r>
      <w:r>
        <w:t>,</w:t>
      </w:r>
      <w:r w:rsidRPr="002A535D">
        <w:t xml:space="preserve"> has produced bad decisions and outcomes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9"/>
        </w:numPr>
        <w:jc w:val="both"/>
      </w:pPr>
      <w:r w:rsidRPr="002A535D">
        <w:t>Territorial actors (premiers) remain domina</w:t>
      </w:r>
      <w:r>
        <w:t>n</w:t>
      </w:r>
      <w:r w:rsidRPr="002A535D">
        <w:t>t</w:t>
      </w:r>
      <w:bookmarkStart w:id="0" w:name="_GoBack"/>
      <w:bookmarkEnd w:id="0"/>
      <w:r w:rsidRPr="002A535D">
        <w:t xml:space="preserve"> and isolated</w:t>
      </w:r>
      <w:r w:rsidR="002A535D" w:rsidRPr="002A535D">
        <w:t>.</w:t>
      </w:r>
      <w:r w:rsidRPr="002A535D">
        <w:t xml:space="preserve"> </w:t>
      </w:r>
    </w:p>
    <w:p w:rsidR="00000000" w:rsidRPr="002A535D" w:rsidRDefault="00F22995" w:rsidP="00F22995">
      <w:pPr>
        <w:pStyle w:val="ListParagraph"/>
        <w:numPr>
          <w:ilvl w:val="0"/>
          <w:numId w:val="9"/>
        </w:numPr>
        <w:jc w:val="both"/>
      </w:pPr>
      <w:r w:rsidRPr="002A535D">
        <w:t xml:space="preserve">Growing </w:t>
      </w:r>
      <w:r w:rsidRPr="002A535D">
        <w:t>democratic deficit, inability to work across systems and borders in all directions (north-south/east-west)</w:t>
      </w:r>
      <w:r w:rsidR="002A535D" w:rsidRPr="002A535D">
        <w:t>.</w:t>
      </w:r>
      <w:r w:rsidRPr="002A535D">
        <w:t xml:space="preserve">  </w:t>
      </w:r>
    </w:p>
    <w:p w:rsidR="00784C37" w:rsidRPr="002A535D" w:rsidRDefault="00784C37" w:rsidP="00F22995">
      <w:pPr>
        <w:jc w:val="both"/>
      </w:pPr>
    </w:p>
    <w:sectPr w:rsidR="00784C37" w:rsidRPr="002A53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5D" w:rsidRDefault="002A535D" w:rsidP="002A535D">
      <w:pPr>
        <w:spacing w:after="0" w:line="240" w:lineRule="auto"/>
      </w:pPr>
      <w:r>
        <w:separator/>
      </w:r>
    </w:p>
  </w:endnote>
  <w:endnote w:type="continuationSeparator" w:id="0">
    <w:p w:rsidR="002A535D" w:rsidRDefault="002A535D" w:rsidP="002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5D" w:rsidRDefault="002A535D" w:rsidP="002A535D">
      <w:pPr>
        <w:spacing w:after="0" w:line="240" w:lineRule="auto"/>
      </w:pPr>
      <w:r>
        <w:separator/>
      </w:r>
    </w:p>
  </w:footnote>
  <w:footnote w:type="continuationSeparator" w:id="0">
    <w:p w:rsidR="002A535D" w:rsidRDefault="002A535D" w:rsidP="002A535D">
      <w:pPr>
        <w:spacing w:after="0" w:line="240" w:lineRule="auto"/>
      </w:pPr>
      <w:r>
        <w:continuationSeparator/>
      </w:r>
    </w:p>
  </w:footnote>
  <w:footnote w:id="1">
    <w:p w:rsidR="002A535D" w:rsidRPr="002A535D" w:rsidRDefault="002A535D">
      <w:pPr>
        <w:pStyle w:val="FootnoteText"/>
        <w:rPr>
          <w:sz w:val="18"/>
          <w:szCs w:val="18"/>
        </w:rPr>
      </w:pPr>
      <w:r w:rsidRPr="002A535D">
        <w:rPr>
          <w:rStyle w:val="FootnoteReference"/>
          <w:sz w:val="18"/>
          <w:szCs w:val="18"/>
        </w:rPr>
        <w:footnoteRef/>
      </w:r>
      <w:r w:rsidRPr="002A535D">
        <w:rPr>
          <w:sz w:val="18"/>
          <w:szCs w:val="18"/>
        </w:rPr>
        <w:t xml:space="preserve"> </w:t>
      </w:r>
      <w:proofErr w:type="gramStart"/>
      <w:r w:rsidRPr="002A535D">
        <w:rPr>
          <w:sz w:val="18"/>
          <w:szCs w:val="18"/>
        </w:rPr>
        <w:t>P</w:t>
      </w:r>
      <w:r w:rsidRPr="002A535D">
        <w:rPr>
          <w:rFonts w:cs="Arial"/>
          <w:color w:val="000000"/>
          <w:sz w:val="18"/>
          <w:szCs w:val="18"/>
          <w:u w:color="000000"/>
        </w:rPr>
        <w:t>rofessor in the Department of Political Science and Medicine (Community Health) at Memorial University of Newfoundland</w:t>
      </w:r>
      <w:r w:rsidRPr="002A535D">
        <w:rPr>
          <w:rFonts w:cs="Arial"/>
          <w:color w:val="000000"/>
          <w:sz w:val="18"/>
          <w:szCs w:val="18"/>
          <w:u w:color="000000"/>
        </w:rPr>
        <w:t xml:space="preserve"> (Canada).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5D" w:rsidRPr="007E4E9B" w:rsidRDefault="002A535D" w:rsidP="002A535D">
    <w:pPr>
      <w:pStyle w:val="Corps"/>
      <w:jc w:val="center"/>
      <w:rPr>
        <w:rFonts w:ascii="Arial" w:hAnsi="Arial" w:cs="Arial"/>
        <w:b/>
        <w:bCs/>
        <w:color w:val="000000" w:themeColor="text1"/>
        <w:sz w:val="20"/>
        <w:szCs w:val="20"/>
        <w:lang w:val="en-GB"/>
      </w:rPr>
    </w:pPr>
    <w:r w:rsidRPr="007E4E9B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International Academic Conference</w:t>
    </w:r>
  </w:p>
  <w:p w:rsidR="002A535D" w:rsidRDefault="002A535D" w:rsidP="002A535D">
    <w:pPr>
      <w:pStyle w:val="Corps"/>
      <w:jc w:val="center"/>
      <w:rPr>
        <w:rFonts w:ascii="Arial" w:hAnsi="Arial" w:cs="Arial"/>
        <w:b/>
        <w:bCs/>
        <w:smallCaps/>
        <w:color w:val="000000" w:themeColor="text1"/>
        <w:sz w:val="20"/>
        <w:szCs w:val="20"/>
        <w:lang w:val="en-GB"/>
      </w:rPr>
    </w:pPr>
    <w:r w:rsidRPr="007E4E9B">
      <w:rPr>
        <w:rFonts w:ascii="Arial" w:hAnsi="Arial" w:cs="Arial"/>
        <w:b/>
        <w:bCs/>
        <w:smallCaps/>
        <w:color w:val="000000" w:themeColor="text1"/>
        <w:sz w:val="20"/>
        <w:szCs w:val="20"/>
        <w:lang w:val="en-GB"/>
      </w:rPr>
      <w:t>“Models of Territorial Autonomy: Convergences and Differences”</w:t>
    </w:r>
  </w:p>
  <w:p w:rsidR="002A535D" w:rsidRPr="00E63395" w:rsidRDefault="002A535D" w:rsidP="002A535D">
    <w:pPr>
      <w:pStyle w:val="Corps"/>
      <w:jc w:val="center"/>
      <w:rPr>
        <w:rFonts w:ascii="Arial" w:eastAsia="Arial" w:hAnsi="Arial" w:cs="Arial"/>
        <w:b/>
        <w:bCs/>
        <w:color w:val="000000" w:themeColor="text1"/>
        <w:sz w:val="20"/>
        <w:szCs w:val="20"/>
        <w:lang w:val="en-GB"/>
      </w:rPr>
    </w:pPr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(</w:t>
    </w:r>
    <w:proofErr w:type="spellStart"/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Da</w:t>
    </w:r>
    <w:r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k</w:t>
    </w:r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hla</w:t>
    </w:r>
    <w:proofErr w:type="spellEnd"/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, 2-3 July 2018)</w:t>
    </w:r>
  </w:p>
  <w:p w:rsidR="002A535D" w:rsidRDefault="002A5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E1A"/>
    <w:multiLevelType w:val="hybridMultilevel"/>
    <w:tmpl w:val="69D44C64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B83750"/>
    <w:multiLevelType w:val="hybridMultilevel"/>
    <w:tmpl w:val="7B446CEE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9310C"/>
    <w:multiLevelType w:val="hybridMultilevel"/>
    <w:tmpl w:val="AEAEDA42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401DE0"/>
    <w:multiLevelType w:val="hybridMultilevel"/>
    <w:tmpl w:val="ADF4EEA0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60E9F"/>
    <w:multiLevelType w:val="hybridMultilevel"/>
    <w:tmpl w:val="470AD434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0565FA"/>
    <w:multiLevelType w:val="hybridMultilevel"/>
    <w:tmpl w:val="80385ED6"/>
    <w:lvl w:ilvl="0" w:tplc="9A986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6A522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C1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0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EB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8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05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E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E4707C"/>
    <w:multiLevelType w:val="hybridMultilevel"/>
    <w:tmpl w:val="0E1814E4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8B73E9"/>
    <w:multiLevelType w:val="hybridMultilevel"/>
    <w:tmpl w:val="1608B4FC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110D22"/>
    <w:multiLevelType w:val="hybridMultilevel"/>
    <w:tmpl w:val="F0662B3E"/>
    <w:lvl w:ilvl="0" w:tplc="621C5A2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5D"/>
    <w:rsid w:val="002A535D"/>
    <w:rsid w:val="00784C37"/>
    <w:rsid w:val="00F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D"/>
  </w:style>
  <w:style w:type="paragraph" w:styleId="Footer">
    <w:name w:val="footer"/>
    <w:basedOn w:val="Normal"/>
    <w:link w:val="FooterChar"/>
    <w:uiPriority w:val="99"/>
    <w:unhideWhenUsed/>
    <w:rsid w:val="002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D"/>
  </w:style>
  <w:style w:type="paragraph" w:customStyle="1" w:styleId="Corps">
    <w:name w:val="Corps"/>
    <w:rsid w:val="002A5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3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3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3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D"/>
  </w:style>
  <w:style w:type="paragraph" w:styleId="Footer">
    <w:name w:val="footer"/>
    <w:basedOn w:val="Normal"/>
    <w:link w:val="FooterChar"/>
    <w:uiPriority w:val="99"/>
    <w:unhideWhenUsed/>
    <w:rsid w:val="002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D"/>
  </w:style>
  <w:style w:type="paragraph" w:customStyle="1" w:styleId="Corps">
    <w:name w:val="Corps"/>
    <w:rsid w:val="002A5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3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3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3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5D72-8D88-4FDF-9ACC-AA96D967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Maison de la Paix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Finaud Marc</dc:creator>
  <cp:lastModifiedBy>Finaud Marc</cp:lastModifiedBy>
  <cp:revision>1</cp:revision>
  <dcterms:created xsi:type="dcterms:W3CDTF">2018-07-30T11:46:00Z</dcterms:created>
  <dcterms:modified xsi:type="dcterms:W3CDTF">2018-07-30T12:28:00Z</dcterms:modified>
</cp:coreProperties>
</file>