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962" w:rsidRPr="00DA6962" w:rsidRDefault="00DA6962" w:rsidP="00DA6962">
      <w:pPr>
        <w:spacing w:after="0" w:line="240" w:lineRule="auto"/>
        <w:rPr>
          <w:rFonts w:ascii="Arial" w:hAnsi="Arial" w:cs="Arial"/>
          <w:b/>
          <w:sz w:val="20"/>
          <w:szCs w:val="20"/>
          <w:lang w:val="en-GB"/>
        </w:rPr>
      </w:pPr>
    </w:p>
    <w:p w:rsidR="004F10A9" w:rsidRPr="0075535B" w:rsidRDefault="004F10A9" w:rsidP="00DA6962">
      <w:pPr>
        <w:spacing w:after="0" w:line="240" w:lineRule="auto"/>
        <w:jc w:val="center"/>
        <w:rPr>
          <w:rFonts w:ascii="Arial" w:hAnsi="Arial" w:cs="Arial"/>
          <w:b/>
          <w:sz w:val="28"/>
          <w:szCs w:val="28"/>
          <w:lang w:val="en-GB"/>
        </w:rPr>
      </w:pPr>
      <w:r w:rsidRPr="0075535B">
        <w:rPr>
          <w:rFonts w:ascii="Arial" w:hAnsi="Arial" w:cs="Arial"/>
          <w:b/>
          <w:sz w:val="28"/>
          <w:szCs w:val="28"/>
          <w:lang w:val="en-GB"/>
        </w:rPr>
        <w:t xml:space="preserve">Tax </w:t>
      </w:r>
      <w:r w:rsidR="00DA6962" w:rsidRPr="0075535B">
        <w:rPr>
          <w:rFonts w:ascii="Arial" w:hAnsi="Arial" w:cs="Arial"/>
          <w:b/>
          <w:sz w:val="28"/>
          <w:szCs w:val="28"/>
          <w:lang w:val="en-GB"/>
        </w:rPr>
        <w:t>E</w:t>
      </w:r>
      <w:r w:rsidRPr="0075535B">
        <w:rPr>
          <w:rFonts w:ascii="Arial" w:hAnsi="Arial" w:cs="Arial"/>
          <w:b/>
          <w:sz w:val="28"/>
          <w:szCs w:val="28"/>
          <w:lang w:val="en-GB"/>
        </w:rPr>
        <w:t xml:space="preserve">qualisation between Spanish </w:t>
      </w:r>
      <w:r w:rsidR="00DA6962" w:rsidRPr="0075535B">
        <w:rPr>
          <w:rFonts w:ascii="Arial" w:hAnsi="Arial" w:cs="Arial"/>
          <w:b/>
          <w:sz w:val="28"/>
          <w:szCs w:val="28"/>
          <w:lang w:val="en-GB"/>
        </w:rPr>
        <w:t>R</w:t>
      </w:r>
      <w:r w:rsidRPr="0075535B">
        <w:rPr>
          <w:rFonts w:ascii="Arial" w:hAnsi="Arial" w:cs="Arial"/>
          <w:b/>
          <w:sz w:val="28"/>
          <w:szCs w:val="28"/>
          <w:lang w:val="en-GB"/>
        </w:rPr>
        <w:t>egions</w:t>
      </w:r>
    </w:p>
    <w:p w:rsidR="004F10A9" w:rsidRPr="00DA6962" w:rsidRDefault="004F10A9" w:rsidP="00DA6962">
      <w:pPr>
        <w:spacing w:after="0" w:line="240" w:lineRule="auto"/>
        <w:jc w:val="center"/>
        <w:rPr>
          <w:rFonts w:ascii="Arial" w:hAnsi="Arial" w:cs="Arial"/>
          <w:sz w:val="20"/>
          <w:szCs w:val="20"/>
          <w:lang w:val="en-GB"/>
        </w:rPr>
      </w:pPr>
      <w:r w:rsidRPr="00DA6962">
        <w:rPr>
          <w:rFonts w:ascii="Arial" w:hAnsi="Arial" w:cs="Arial"/>
          <w:sz w:val="20"/>
          <w:szCs w:val="20"/>
          <w:lang w:val="en-GB"/>
        </w:rPr>
        <w:t xml:space="preserve">José M </w:t>
      </w:r>
      <w:proofErr w:type="spellStart"/>
      <w:r w:rsidRPr="00DA6962">
        <w:rPr>
          <w:rFonts w:ascii="Arial" w:hAnsi="Arial" w:cs="Arial"/>
          <w:sz w:val="20"/>
          <w:szCs w:val="20"/>
          <w:lang w:val="en-GB"/>
        </w:rPr>
        <w:t>Durán-Cabré</w:t>
      </w:r>
      <w:proofErr w:type="spellEnd"/>
      <w:r w:rsidR="00DA6962">
        <w:rPr>
          <w:rStyle w:val="FootnoteReference"/>
          <w:rFonts w:ascii="Arial" w:hAnsi="Arial" w:cs="Arial"/>
          <w:sz w:val="20"/>
          <w:szCs w:val="20"/>
          <w:lang w:val="en-GB"/>
        </w:rPr>
        <w:footnoteReference w:id="1"/>
      </w:r>
    </w:p>
    <w:p w:rsidR="004F10A9" w:rsidRPr="00DA6962" w:rsidRDefault="004F10A9" w:rsidP="00DA6962">
      <w:pPr>
        <w:spacing w:after="0" w:line="240" w:lineRule="auto"/>
        <w:rPr>
          <w:rFonts w:ascii="Arial" w:hAnsi="Arial" w:cs="Arial"/>
          <w:sz w:val="20"/>
          <w:szCs w:val="20"/>
          <w:lang w:val="en-GB"/>
        </w:rPr>
      </w:pPr>
    </w:p>
    <w:p w:rsidR="0074549F" w:rsidRPr="00DA6962" w:rsidRDefault="00534C0C" w:rsidP="00DA6962">
      <w:pPr>
        <w:pStyle w:val="Title"/>
        <w:spacing w:line="240" w:lineRule="auto"/>
        <w:rPr>
          <w:rFonts w:cs="Arial"/>
          <w:sz w:val="20"/>
          <w:szCs w:val="20"/>
          <w:lang w:val="en-GB"/>
        </w:rPr>
      </w:pPr>
      <w:r w:rsidRPr="00DA6962">
        <w:rPr>
          <w:rFonts w:cs="Arial"/>
          <w:sz w:val="20"/>
          <w:szCs w:val="20"/>
          <w:lang w:val="en-GB"/>
        </w:rPr>
        <w:t xml:space="preserve">Introduction </w:t>
      </w:r>
    </w:p>
    <w:p w:rsidR="005362FB" w:rsidRPr="00DA6962" w:rsidRDefault="005362FB" w:rsidP="00DA6962">
      <w:pPr>
        <w:spacing w:after="0" w:line="240" w:lineRule="auto"/>
        <w:rPr>
          <w:rFonts w:ascii="Arial" w:hAnsi="Arial" w:cs="Arial"/>
          <w:sz w:val="20"/>
          <w:szCs w:val="20"/>
          <w:lang w:val="en-GB"/>
        </w:rPr>
      </w:pPr>
    </w:p>
    <w:p w:rsidR="002D3114" w:rsidRPr="00DA6962" w:rsidRDefault="002D3114" w:rsidP="00DA6962">
      <w:pPr>
        <w:spacing w:after="0" w:line="240" w:lineRule="auto"/>
        <w:jc w:val="both"/>
        <w:rPr>
          <w:rFonts w:ascii="Arial" w:hAnsi="Arial" w:cs="Arial"/>
          <w:sz w:val="20"/>
          <w:szCs w:val="20"/>
          <w:lang w:val="en-GB"/>
        </w:rPr>
      </w:pPr>
      <w:r w:rsidRPr="00DA6962">
        <w:rPr>
          <w:rFonts w:ascii="Arial" w:hAnsi="Arial" w:cs="Arial"/>
          <w:sz w:val="20"/>
          <w:szCs w:val="20"/>
          <w:lang w:val="en-GB"/>
        </w:rPr>
        <w:t>Spain had traditionally been a unitary country, with two t</w:t>
      </w:r>
      <w:r w:rsidR="00DA6962">
        <w:rPr>
          <w:rFonts w:ascii="Arial" w:hAnsi="Arial" w:cs="Arial"/>
          <w:sz w:val="20"/>
          <w:szCs w:val="20"/>
          <w:lang w:val="en-GB"/>
        </w:rPr>
        <w:t>ie</w:t>
      </w:r>
      <w:r w:rsidRPr="00DA6962">
        <w:rPr>
          <w:rFonts w:ascii="Arial" w:hAnsi="Arial" w:cs="Arial"/>
          <w:sz w:val="20"/>
          <w:szCs w:val="20"/>
          <w:lang w:val="en-GB"/>
        </w:rPr>
        <w:t>rs of government, the central government and the local one. The 1978 Constitution introduced a third level of government, the regional one</w:t>
      </w:r>
      <w:r w:rsidR="00DA6962">
        <w:rPr>
          <w:rFonts w:ascii="Arial" w:hAnsi="Arial" w:cs="Arial"/>
          <w:sz w:val="20"/>
          <w:szCs w:val="20"/>
          <w:lang w:val="en-GB"/>
        </w:rPr>
        <w:t>,</w:t>
      </w:r>
      <w:r w:rsidRPr="00DA6962">
        <w:rPr>
          <w:rFonts w:ascii="Arial" w:hAnsi="Arial" w:cs="Arial"/>
          <w:sz w:val="20"/>
          <w:szCs w:val="20"/>
          <w:lang w:val="en-GB"/>
        </w:rPr>
        <w:t xml:space="preserve"> and Spain started a quite fast process of decentralisation. Nowadays, regional expenditure accounts for around 35% of all non-financial public expenditure, a greater percentage than that of many historically federal countries. Therefore, although Spain is not a federal country from a legal perspective, indeed from a fiscal federalism perspective and its experience in decentralisation</w:t>
      </w:r>
      <w:r w:rsidR="00DA6962">
        <w:rPr>
          <w:rFonts w:ascii="Arial" w:hAnsi="Arial" w:cs="Arial"/>
          <w:sz w:val="20"/>
          <w:szCs w:val="20"/>
          <w:lang w:val="en-GB"/>
        </w:rPr>
        <w:t>, it</w:t>
      </w:r>
      <w:r w:rsidRPr="00DA6962">
        <w:rPr>
          <w:rFonts w:ascii="Arial" w:hAnsi="Arial" w:cs="Arial"/>
          <w:sz w:val="20"/>
          <w:szCs w:val="20"/>
          <w:lang w:val="en-GB"/>
        </w:rPr>
        <w:t xml:space="preserve"> may be a reference for unitary countries that have started or foresee to set out a political process of decentrali</w:t>
      </w:r>
      <w:r w:rsidR="00D16E7D" w:rsidRPr="00DA6962">
        <w:rPr>
          <w:rFonts w:ascii="Arial" w:hAnsi="Arial" w:cs="Arial"/>
          <w:sz w:val="20"/>
          <w:szCs w:val="20"/>
          <w:lang w:val="en-GB"/>
        </w:rPr>
        <w:t>s</w:t>
      </w:r>
      <w:r w:rsidRPr="00DA6962">
        <w:rPr>
          <w:rFonts w:ascii="Arial" w:hAnsi="Arial" w:cs="Arial"/>
          <w:sz w:val="20"/>
          <w:szCs w:val="20"/>
          <w:lang w:val="en-GB"/>
        </w:rPr>
        <w:t xml:space="preserve">ation, </w:t>
      </w:r>
      <w:r w:rsidR="00DA6962">
        <w:rPr>
          <w:rFonts w:ascii="Arial" w:hAnsi="Arial" w:cs="Arial"/>
          <w:sz w:val="20"/>
          <w:szCs w:val="20"/>
          <w:lang w:val="en-GB"/>
        </w:rPr>
        <w:t xml:space="preserve">such </w:t>
      </w:r>
      <w:r w:rsidRPr="00DA6962">
        <w:rPr>
          <w:rFonts w:ascii="Arial" w:hAnsi="Arial" w:cs="Arial"/>
          <w:sz w:val="20"/>
          <w:szCs w:val="20"/>
          <w:lang w:val="en-GB"/>
        </w:rPr>
        <w:t xml:space="preserve">as Morocco. </w:t>
      </w:r>
    </w:p>
    <w:p w:rsidR="002D3114" w:rsidRPr="00DA6962" w:rsidRDefault="002D3114" w:rsidP="00DA6962">
      <w:pPr>
        <w:spacing w:after="0" w:line="240" w:lineRule="auto"/>
        <w:jc w:val="both"/>
        <w:rPr>
          <w:rFonts w:ascii="Arial" w:hAnsi="Arial" w:cs="Arial"/>
          <w:sz w:val="20"/>
          <w:szCs w:val="20"/>
          <w:lang w:val="en-GB"/>
        </w:rPr>
      </w:pPr>
    </w:p>
    <w:p w:rsidR="002D3114" w:rsidRPr="00DA6962" w:rsidRDefault="002D3114" w:rsidP="00DA6962">
      <w:pPr>
        <w:spacing w:after="0" w:line="240" w:lineRule="auto"/>
        <w:jc w:val="both"/>
        <w:rPr>
          <w:rFonts w:ascii="Arial" w:hAnsi="Arial" w:cs="Arial"/>
          <w:sz w:val="20"/>
          <w:szCs w:val="20"/>
          <w:lang w:val="en-GB"/>
        </w:rPr>
      </w:pPr>
      <w:r w:rsidRPr="00DA6962">
        <w:rPr>
          <w:rFonts w:ascii="Arial" w:hAnsi="Arial" w:cs="Arial"/>
          <w:sz w:val="20"/>
          <w:szCs w:val="20"/>
          <w:lang w:val="en-GB"/>
        </w:rPr>
        <w:t xml:space="preserve">This paper is divided into three sections in addition to this brief introduction. Section </w:t>
      </w:r>
      <w:r w:rsidR="00DA6962">
        <w:rPr>
          <w:rFonts w:ascii="Arial" w:hAnsi="Arial" w:cs="Arial"/>
          <w:sz w:val="20"/>
          <w:szCs w:val="20"/>
          <w:lang w:val="en-GB"/>
        </w:rPr>
        <w:t>T</w:t>
      </w:r>
      <w:r w:rsidRPr="00DA6962">
        <w:rPr>
          <w:rFonts w:ascii="Arial" w:hAnsi="Arial" w:cs="Arial"/>
          <w:sz w:val="20"/>
          <w:szCs w:val="20"/>
          <w:lang w:val="en-GB"/>
        </w:rPr>
        <w:t xml:space="preserve">wo aims to briefly explain the historical background. In section </w:t>
      </w:r>
      <w:r w:rsidR="00DA6962">
        <w:rPr>
          <w:rFonts w:ascii="Arial" w:hAnsi="Arial" w:cs="Arial"/>
          <w:sz w:val="20"/>
          <w:szCs w:val="20"/>
          <w:lang w:val="en-GB"/>
        </w:rPr>
        <w:t>T</w:t>
      </w:r>
      <w:r w:rsidRPr="00DA6962">
        <w:rPr>
          <w:rFonts w:ascii="Arial" w:hAnsi="Arial" w:cs="Arial"/>
          <w:sz w:val="20"/>
          <w:szCs w:val="20"/>
          <w:lang w:val="en-GB"/>
        </w:rPr>
        <w:t>hree, the financing systems of the Spanish regions will be described while analysing their features, evolution and current situation. After analysing the Spanish experience, in the last section, the conclusions of this paper will be presented with an emphasis on what issues can be learned and what may be useful to take into account for an autonomous Sahara Region.</w:t>
      </w:r>
    </w:p>
    <w:p w:rsidR="005362FB" w:rsidRPr="00DA6962" w:rsidRDefault="005362FB" w:rsidP="00DA6962">
      <w:pPr>
        <w:spacing w:after="0" w:line="240" w:lineRule="auto"/>
        <w:rPr>
          <w:rFonts w:ascii="Arial" w:hAnsi="Arial" w:cs="Arial"/>
          <w:sz w:val="20"/>
          <w:szCs w:val="20"/>
          <w:lang w:val="en-GB"/>
        </w:rPr>
      </w:pPr>
    </w:p>
    <w:p w:rsidR="00534C0C" w:rsidRPr="00DA6962" w:rsidRDefault="00851F93" w:rsidP="00DA6962">
      <w:pPr>
        <w:pStyle w:val="Title"/>
        <w:spacing w:line="240" w:lineRule="auto"/>
        <w:rPr>
          <w:rFonts w:cs="Arial"/>
          <w:sz w:val="20"/>
          <w:szCs w:val="20"/>
          <w:lang w:val="en-GB"/>
        </w:rPr>
      </w:pPr>
      <w:r w:rsidRPr="00DA6962">
        <w:rPr>
          <w:rFonts w:cs="Arial"/>
          <w:sz w:val="20"/>
          <w:szCs w:val="20"/>
          <w:lang w:val="en-GB"/>
        </w:rPr>
        <w:t>Background</w:t>
      </w:r>
    </w:p>
    <w:p w:rsidR="005362FB" w:rsidRPr="00DA6962" w:rsidRDefault="005362FB" w:rsidP="00DA6962">
      <w:pPr>
        <w:spacing w:after="0" w:line="240" w:lineRule="auto"/>
        <w:rPr>
          <w:rFonts w:ascii="Arial" w:hAnsi="Arial" w:cs="Arial"/>
          <w:sz w:val="20"/>
          <w:szCs w:val="20"/>
          <w:lang w:val="en-GB"/>
        </w:rPr>
      </w:pPr>
    </w:p>
    <w:p w:rsidR="00CA49D7" w:rsidRPr="00DA6962" w:rsidRDefault="00CA49D7" w:rsidP="00DA6962">
      <w:pPr>
        <w:spacing w:after="0" w:line="240" w:lineRule="auto"/>
        <w:jc w:val="both"/>
        <w:rPr>
          <w:rFonts w:ascii="Arial" w:hAnsi="Arial" w:cs="Arial"/>
          <w:sz w:val="20"/>
          <w:szCs w:val="20"/>
          <w:lang w:val="en-GB"/>
        </w:rPr>
      </w:pPr>
      <w:r w:rsidRPr="00DA6962">
        <w:rPr>
          <w:rFonts w:ascii="Arial" w:hAnsi="Arial" w:cs="Arial"/>
          <w:sz w:val="20"/>
          <w:szCs w:val="20"/>
          <w:lang w:val="en-GB"/>
        </w:rPr>
        <w:t>The Spanish Constitution of 1978 marked the recognition of Spain as a democratic country and the creation of a new intermediate level of government, the Autonomous Communities (AC or ACs hereafter), covering autonomous regions. Although the claim for autonomy came in fact only from some regions (particularly, Catalonia, the Basque Country and to a lesser extent Galicia), finally the whole national territory was divided into autonomous regions, altogether 17 ACs, each one with its own autonomous institutions. This is the so-called “</w:t>
      </w:r>
      <w:r w:rsidRPr="00DA6962">
        <w:rPr>
          <w:rFonts w:ascii="Arial" w:hAnsi="Arial" w:cs="Arial"/>
          <w:i/>
          <w:sz w:val="20"/>
          <w:szCs w:val="20"/>
          <w:lang w:val="en-GB"/>
        </w:rPr>
        <w:t xml:space="preserve">café </w:t>
      </w:r>
      <w:proofErr w:type="spellStart"/>
      <w:r w:rsidRPr="00DA6962">
        <w:rPr>
          <w:rFonts w:ascii="Arial" w:hAnsi="Arial" w:cs="Arial"/>
          <w:i/>
          <w:sz w:val="20"/>
          <w:szCs w:val="20"/>
          <w:lang w:val="en-GB"/>
        </w:rPr>
        <w:t>para</w:t>
      </w:r>
      <w:proofErr w:type="spellEnd"/>
      <w:r w:rsidRPr="00DA6962">
        <w:rPr>
          <w:rFonts w:ascii="Arial" w:hAnsi="Arial" w:cs="Arial"/>
          <w:i/>
          <w:sz w:val="20"/>
          <w:szCs w:val="20"/>
          <w:lang w:val="en-GB"/>
        </w:rPr>
        <w:t xml:space="preserve"> </w:t>
      </w:r>
      <w:proofErr w:type="spellStart"/>
      <w:r w:rsidRPr="00DA6962">
        <w:rPr>
          <w:rFonts w:ascii="Arial" w:hAnsi="Arial" w:cs="Arial"/>
          <w:i/>
          <w:sz w:val="20"/>
          <w:szCs w:val="20"/>
          <w:lang w:val="en-GB"/>
        </w:rPr>
        <w:t>todos</w:t>
      </w:r>
      <w:proofErr w:type="spellEnd"/>
      <w:r w:rsidRPr="00DA6962">
        <w:rPr>
          <w:rFonts w:ascii="Arial" w:hAnsi="Arial" w:cs="Arial"/>
          <w:sz w:val="20"/>
          <w:szCs w:val="20"/>
          <w:lang w:val="en-GB"/>
        </w:rPr>
        <w:t xml:space="preserve">” (coffee for everyone) solution, the option adopted to solve this political problem of how to find a suitable fit for those regions claiming a system of self-government. Consequently, once the autonomic process began, territories that never before had claimed a regional government, also received recognition as ACs. </w:t>
      </w:r>
    </w:p>
    <w:p w:rsidR="00026247" w:rsidRPr="00DA6962" w:rsidRDefault="00026247" w:rsidP="00DA6962">
      <w:pPr>
        <w:spacing w:after="0" w:line="240" w:lineRule="auto"/>
        <w:rPr>
          <w:rFonts w:ascii="Arial" w:hAnsi="Arial" w:cs="Arial"/>
          <w:sz w:val="20"/>
          <w:szCs w:val="20"/>
          <w:lang w:val="en-GB"/>
        </w:rPr>
      </w:pPr>
    </w:p>
    <w:p w:rsidR="00CA49D7" w:rsidRPr="00DA6962" w:rsidRDefault="00CA49D7" w:rsidP="00DA6962">
      <w:pPr>
        <w:spacing w:after="0" w:line="240" w:lineRule="auto"/>
        <w:jc w:val="both"/>
        <w:rPr>
          <w:rFonts w:ascii="Arial" w:hAnsi="Arial" w:cs="Arial"/>
          <w:sz w:val="20"/>
          <w:szCs w:val="20"/>
          <w:lang w:val="en-GB"/>
        </w:rPr>
      </w:pPr>
      <w:r w:rsidRPr="00DA6962">
        <w:rPr>
          <w:rFonts w:ascii="Arial" w:hAnsi="Arial" w:cs="Arial"/>
          <w:sz w:val="20"/>
          <w:szCs w:val="20"/>
          <w:lang w:val="en-GB"/>
        </w:rPr>
        <w:t xml:space="preserve">Nonetheless, the Constitution established two alternative systems of accession to autonomy: the high-speed way, whose pace for the recognition as an AC had to be faster and, in addition approved by referendum, or the slow way, whose pace was wider and for which an affirmative referendum was not required. This difference, although important at the beginning of the process because the level of responsibilities were not the same, became less important once all ACs became responsible for similar competences, mainly those related with the welfare state, such as education, health and social services. </w:t>
      </w:r>
    </w:p>
    <w:p w:rsidR="00B361AD" w:rsidRPr="00DA6962" w:rsidRDefault="00B361AD" w:rsidP="00DA6962">
      <w:pPr>
        <w:spacing w:after="0" w:line="240" w:lineRule="auto"/>
        <w:rPr>
          <w:rFonts w:ascii="Arial" w:hAnsi="Arial" w:cs="Arial"/>
          <w:sz w:val="20"/>
          <w:szCs w:val="20"/>
          <w:lang w:val="en-GB"/>
        </w:rPr>
      </w:pPr>
    </w:p>
    <w:p w:rsidR="00CA49D7" w:rsidRPr="00DA6962" w:rsidRDefault="00CA49D7" w:rsidP="00DA6962">
      <w:pPr>
        <w:spacing w:after="0" w:line="240" w:lineRule="auto"/>
        <w:jc w:val="both"/>
        <w:rPr>
          <w:rFonts w:ascii="Arial" w:hAnsi="Arial" w:cs="Arial"/>
          <w:sz w:val="20"/>
          <w:szCs w:val="20"/>
          <w:lang w:val="en-GB"/>
        </w:rPr>
      </w:pPr>
      <w:r w:rsidRPr="00DA6962">
        <w:rPr>
          <w:rFonts w:ascii="Arial" w:hAnsi="Arial" w:cs="Arial"/>
          <w:sz w:val="20"/>
          <w:szCs w:val="20"/>
          <w:lang w:val="en-GB"/>
        </w:rPr>
        <w:t xml:space="preserve">Another difference introduced by the 1978 Spanish Constitution was the recognition of the “historical rights” of the so-called </w:t>
      </w:r>
      <w:proofErr w:type="spellStart"/>
      <w:r w:rsidRPr="00DA6962">
        <w:rPr>
          <w:rFonts w:ascii="Arial" w:hAnsi="Arial" w:cs="Arial"/>
          <w:sz w:val="20"/>
          <w:szCs w:val="20"/>
          <w:lang w:val="en-GB"/>
        </w:rPr>
        <w:t>foral</w:t>
      </w:r>
      <w:proofErr w:type="spellEnd"/>
      <w:r w:rsidRPr="00DA6962">
        <w:rPr>
          <w:rFonts w:ascii="Arial" w:hAnsi="Arial" w:cs="Arial"/>
          <w:sz w:val="20"/>
          <w:szCs w:val="20"/>
          <w:lang w:val="en-GB"/>
        </w:rPr>
        <w:t xml:space="preserve"> territories, which include two ACs, the Basque Country and Navarre. This has indeed been a very important difference, because, as I will later comment, these two regions have enjoyed a very different financing system, both from the point of view of tax power and from the one of the resources available for the responsibilities. </w:t>
      </w:r>
    </w:p>
    <w:p w:rsidR="00B361AD" w:rsidRPr="00DA6962" w:rsidRDefault="00B361AD" w:rsidP="00DA6962">
      <w:pPr>
        <w:spacing w:after="0" w:line="240" w:lineRule="auto"/>
        <w:rPr>
          <w:rFonts w:ascii="Arial" w:hAnsi="Arial" w:cs="Arial"/>
          <w:sz w:val="20"/>
          <w:szCs w:val="20"/>
          <w:lang w:val="en-GB"/>
        </w:rPr>
      </w:pPr>
    </w:p>
    <w:p w:rsidR="00CA49D7" w:rsidRPr="00DA6962" w:rsidRDefault="00CA49D7" w:rsidP="00DA6962">
      <w:pPr>
        <w:spacing w:after="0" w:line="240" w:lineRule="auto"/>
        <w:jc w:val="both"/>
        <w:rPr>
          <w:rFonts w:ascii="Arial" w:hAnsi="Arial" w:cs="Arial"/>
          <w:sz w:val="20"/>
          <w:szCs w:val="20"/>
          <w:lang w:val="en-GB"/>
        </w:rPr>
      </w:pPr>
      <w:r w:rsidRPr="00DA6962">
        <w:rPr>
          <w:rFonts w:ascii="Arial" w:hAnsi="Arial" w:cs="Arial"/>
          <w:sz w:val="20"/>
          <w:szCs w:val="20"/>
          <w:lang w:val="en-GB"/>
        </w:rPr>
        <w:t>To sum it up, since the late seventies and early eighties, Spain has gone from being a unitary, centrali</w:t>
      </w:r>
      <w:r w:rsidR="00D16E7D" w:rsidRPr="00DA6962">
        <w:rPr>
          <w:rFonts w:ascii="Arial" w:hAnsi="Arial" w:cs="Arial"/>
          <w:sz w:val="20"/>
          <w:szCs w:val="20"/>
          <w:lang w:val="en-GB"/>
        </w:rPr>
        <w:t>s</w:t>
      </w:r>
      <w:r w:rsidRPr="00DA6962">
        <w:rPr>
          <w:rFonts w:ascii="Arial" w:hAnsi="Arial" w:cs="Arial"/>
          <w:sz w:val="20"/>
          <w:szCs w:val="20"/>
          <w:lang w:val="en-GB"/>
        </w:rPr>
        <w:t>ed country to a highly decentrali</w:t>
      </w:r>
      <w:r w:rsidR="00D16E7D" w:rsidRPr="00DA6962">
        <w:rPr>
          <w:rFonts w:ascii="Arial" w:hAnsi="Arial" w:cs="Arial"/>
          <w:sz w:val="20"/>
          <w:szCs w:val="20"/>
          <w:lang w:val="en-GB"/>
        </w:rPr>
        <w:t>s</w:t>
      </w:r>
      <w:r w:rsidRPr="00DA6962">
        <w:rPr>
          <w:rFonts w:ascii="Arial" w:hAnsi="Arial" w:cs="Arial"/>
          <w:sz w:val="20"/>
          <w:szCs w:val="20"/>
          <w:lang w:val="en-GB"/>
        </w:rPr>
        <w:t>ed one, where ACs play an essential role in the provision of public services and take up a significant share of public revenues. As a consequence, although Spain is not a federal country from a legal point of view, its current situation is nowadays much closer to one of federal country than to the one of unitary one, with three levels of government: central, regional and local. In this paper, I am going the concentrate on the regional one.</w:t>
      </w:r>
    </w:p>
    <w:p w:rsidR="00534C0C" w:rsidRPr="00DA6962" w:rsidRDefault="00534C0C" w:rsidP="00DA6962">
      <w:pPr>
        <w:spacing w:after="0" w:line="240" w:lineRule="auto"/>
        <w:rPr>
          <w:rFonts w:ascii="Arial" w:hAnsi="Arial" w:cs="Arial"/>
          <w:sz w:val="20"/>
          <w:szCs w:val="20"/>
          <w:lang w:val="en-GB"/>
        </w:rPr>
      </w:pPr>
    </w:p>
    <w:p w:rsidR="00EB08C2" w:rsidRPr="00DA6962" w:rsidRDefault="00EB08C2" w:rsidP="00DA6962">
      <w:pPr>
        <w:pStyle w:val="Title"/>
        <w:spacing w:line="240" w:lineRule="auto"/>
        <w:rPr>
          <w:rFonts w:cs="Arial"/>
          <w:sz w:val="20"/>
          <w:szCs w:val="20"/>
          <w:lang w:val="en-GB"/>
        </w:rPr>
      </w:pPr>
      <w:r w:rsidRPr="00DA6962">
        <w:rPr>
          <w:rFonts w:cs="Arial"/>
          <w:sz w:val="20"/>
          <w:szCs w:val="20"/>
          <w:lang w:val="en-GB"/>
        </w:rPr>
        <w:t xml:space="preserve">The </w:t>
      </w:r>
      <w:r w:rsidR="00DA6962">
        <w:rPr>
          <w:rFonts w:cs="Arial"/>
          <w:sz w:val="20"/>
          <w:szCs w:val="20"/>
          <w:lang w:val="en-GB"/>
        </w:rPr>
        <w:t>F</w:t>
      </w:r>
      <w:r w:rsidRPr="00DA6962">
        <w:rPr>
          <w:rFonts w:cs="Arial"/>
          <w:sz w:val="20"/>
          <w:szCs w:val="20"/>
          <w:lang w:val="en-GB"/>
        </w:rPr>
        <w:t xml:space="preserve">inancing </w:t>
      </w:r>
      <w:r w:rsidR="00DA6962">
        <w:rPr>
          <w:rFonts w:cs="Arial"/>
          <w:sz w:val="20"/>
          <w:szCs w:val="20"/>
          <w:lang w:val="en-GB"/>
        </w:rPr>
        <w:t>S</w:t>
      </w:r>
      <w:r w:rsidRPr="00DA6962">
        <w:rPr>
          <w:rFonts w:cs="Arial"/>
          <w:sz w:val="20"/>
          <w:szCs w:val="20"/>
          <w:lang w:val="en-GB"/>
        </w:rPr>
        <w:t>ystem</w:t>
      </w:r>
      <w:r w:rsidR="004311A9" w:rsidRPr="00DA6962">
        <w:rPr>
          <w:rFonts w:cs="Arial"/>
          <w:sz w:val="20"/>
          <w:szCs w:val="20"/>
          <w:lang w:val="en-GB"/>
        </w:rPr>
        <w:t>s</w:t>
      </w:r>
      <w:r w:rsidRPr="00DA6962">
        <w:rPr>
          <w:rFonts w:cs="Arial"/>
          <w:sz w:val="20"/>
          <w:szCs w:val="20"/>
          <w:lang w:val="en-GB"/>
        </w:rPr>
        <w:t xml:space="preserve"> of the Spanish </w:t>
      </w:r>
      <w:r w:rsidR="00DA6962">
        <w:rPr>
          <w:rFonts w:cs="Arial"/>
          <w:sz w:val="20"/>
          <w:szCs w:val="20"/>
          <w:lang w:val="en-GB"/>
        </w:rPr>
        <w:t>R</w:t>
      </w:r>
      <w:r w:rsidRPr="00DA6962">
        <w:rPr>
          <w:rFonts w:cs="Arial"/>
          <w:sz w:val="20"/>
          <w:szCs w:val="20"/>
          <w:lang w:val="en-GB"/>
        </w:rPr>
        <w:t>egions</w:t>
      </w:r>
    </w:p>
    <w:p w:rsidR="00026247" w:rsidRPr="00DA6962" w:rsidRDefault="00026247" w:rsidP="00DA6962">
      <w:pPr>
        <w:spacing w:after="0" w:line="240" w:lineRule="auto"/>
        <w:rPr>
          <w:rFonts w:ascii="Arial" w:hAnsi="Arial" w:cs="Arial"/>
          <w:sz w:val="20"/>
          <w:szCs w:val="20"/>
          <w:lang w:val="en-GB"/>
        </w:rPr>
      </w:pPr>
    </w:p>
    <w:p w:rsidR="00CA49D7" w:rsidRPr="00DA6962" w:rsidRDefault="00CA49D7" w:rsidP="00DA6962">
      <w:pPr>
        <w:spacing w:after="0" w:line="240" w:lineRule="auto"/>
        <w:jc w:val="both"/>
        <w:rPr>
          <w:rFonts w:ascii="Arial" w:hAnsi="Arial" w:cs="Arial"/>
          <w:sz w:val="20"/>
          <w:szCs w:val="20"/>
          <w:lang w:val="en-GB"/>
        </w:rPr>
      </w:pPr>
      <w:r w:rsidRPr="00DA6962">
        <w:rPr>
          <w:rFonts w:ascii="Arial" w:hAnsi="Arial" w:cs="Arial"/>
          <w:sz w:val="20"/>
          <w:szCs w:val="20"/>
          <w:lang w:val="en-GB"/>
        </w:rPr>
        <w:t xml:space="preserve">The allocation of responsibilities among the different levels of government in Spain is set out in the Constitution, which establishes a general framework, and it is more precisely defined in the autonomy statutes of each AC. In general, there are three categories of power: exclusive powers of the </w:t>
      </w:r>
      <w:r w:rsidR="00235CDC" w:rsidRPr="00DA6962">
        <w:rPr>
          <w:rFonts w:ascii="Arial" w:hAnsi="Arial" w:cs="Arial"/>
          <w:sz w:val="20"/>
          <w:szCs w:val="20"/>
          <w:lang w:val="en-GB"/>
        </w:rPr>
        <w:t>S</w:t>
      </w:r>
      <w:r w:rsidRPr="00DA6962">
        <w:rPr>
          <w:rFonts w:ascii="Arial" w:hAnsi="Arial" w:cs="Arial"/>
          <w:sz w:val="20"/>
          <w:szCs w:val="20"/>
          <w:lang w:val="en-GB"/>
        </w:rPr>
        <w:t xml:space="preserve">tate, shared </w:t>
      </w:r>
      <w:r w:rsidRPr="00DA6962">
        <w:rPr>
          <w:rFonts w:ascii="Arial" w:hAnsi="Arial" w:cs="Arial"/>
          <w:sz w:val="20"/>
          <w:szCs w:val="20"/>
          <w:lang w:val="en-GB"/>
        </w:rPr>
        <w:lastRenderedPageBreak/>
        <w:t xml:space="preserve">powers and exclusive powers of the AC. The </w:t>
      </w:r>
      <w:r w:rsidR="00235CDC" w:rsidRPr="00DA6962">
        <w:rPr>
          <w:rFonts w:ascii="Arial" w:hAnsi="Arial" w:cs="Arial"/>
          <w:sz w:val="20"/>
          <w:szCs w:val="20"/>
          <w:lang w:val="en-GB"/>
        </w:rPr>
        <w:t>S</w:t>
      </w:r>
      <w:r w:rsidRPr="00DA6962">
        <w:rPr>
          <w:rFonts w:ascii="Arial" w:hAnsi="Arial" w:cs="Arial"/>
          <w:sz w:val="20"/>
          <w:szCs w:val="20"/>
          <w:lang w:val="en-GB"/>
        </w:rPr>
        <w:t xml:space="preserve">tate is exclusively competent in certain matters, such as international relations, defence, and administration of justice, customs matters, currency, general finances and state debt. Exclusive powers of an AC may vary among regions, as it depends on their respective statute but, for instance, they are competences related with agriculture, rail and land transport transiting only through an AC or the organisation of the self-government institutions. Finally, the most important responsibilities are the ones shared between the </w:t>
      </w:r>
      <w:r w:rsidR="00235CDC" w:rsidRPr="00DA6962">
        <w:rPr>
          <w:rFonts w:ascii="Arial" w:hAnsi="Arial" w:cs="Arial"/>
          <w:sz w:val="20"/>
          <w:szCs w:val="20"/>
          <w:lang w:val="en-GB"/>
        </w:rPr>
        <w:t>S</w:t>
      </w:r>
      <w:r w:rsidRPr="00DA6962">
        <w:rPr>
          <w:rFonts w:ascii="Arial" w:hAnsi="Arial" w:cs="Arial"/>
          <w:sz w:val="20"/>
          <w:szCs w:val="20"/>
          <w:lang w:val="en-GB"/>
        </w:rPr>
        <w:t xml:space="preserve">tate and the ACs, including education, commerce and consumer policy, banking and insurance, economy and finance or environmental protection, among many others. </w:t>
      </w:r>
    </w:p>
    <w:p w:rsidR="00CA49D7" w:rsidRPr="00DA6962" w:rsidRDefault="00CA49D7" w:rsidP="00DA6962">
      <w:pPr>
        <w:spacing w:after="0" w:line="240" w:lineRule="auto"/>
        <w:jc w:val="both"/>
        <w:rPr>
          <w:rFonts w:ascii="Arial" w:hAnsi="Arial" w:cs="Arial"/>
          <w:sz w:val="20"/>
          <w:szCs w:val="20"/>
          <w:lang w:val="en-GB"/>
        </w:rPr>
      </w:pPr>
    </w:p>
    <w:p w:rsidR="00CA49D7" w:rsidRPr="00DA6962" w:rsidRDefault="00CA49D7" w:rsidP="00DA6962">
      <w:pPr>
        <w:spacing w:after="0" w:line="240" w:lineRule="auto"/>
        <w:jc w:val="both"/>
        <w:rPr>
          <w:rFonts w:ascii="Arial" w:hAnsi="Arial" w:cs="Arial"/>
          <w:sz w:val="20"/>
          <w:szCs w:val="20"/>
          <w:lang w:val="en-GB"/>
        </w:rPr>
      </w:pPr>
      <w:r w:rsidRPr="00DA6962">
        <w:rPr>
          <w:rFonts w:ascii="Arial" w:hAnsi="Arial" w:cs="Arial"/>
          <w:sz w:val="20"/>
          <w:szCs w:val="20"/>
          <w:lang w:val="en-GB"/>
        </w:rPr>
        <w:t xml:space="preserve">In order to be able to exercise their responsibilities, ACs require revenues, which are foreseen in the same Constitution and are subsequently specified in the laws that regulate the financing system of the Spanish regions. There are two very different regional financing systems: the so-called common regime that covers fifteen ACs, and the special </w:t>
      </w:r>
      <w:proofErr w:type="spellStart"/>
      <w:r w:rsidRPr="00DA6962">
        <w:rPr>
          <w:rFonts w:ascii="Arial" w:hAnsi="Arial" w:cs="Arial"/>
          <w:sz w:val="20"/>
          <w:szCs w:val="20"/>
          <w:lang w:val="en-GB"/>
        </w:rPr>
        <w:t>foral</w:t>
      </w:r>
      <w:proofErr w:type="spellEnd"/>
      <w:r w:rsidRPr="00DA6962">
        <w:rPr>
          <w:rFonts w:ascii="Arial" w:hAnsi="Arial" w:cs="Arial"/>
          <w:sz w:val="20"/>
          <w:szCs w:val="20"/>
          <w:lang w:val="en-GB"/>
        </w:rPr>
        <w:t xml:space="preserve"> regime that includes only two ACs (the Basque Country and Navarre). </w:t>
      </w:r>
    </w:p>
    <w:p w:rsidR="00861705" w:rsidRPr="00DA6962" w:rsidRDefault="00861705" w:rsidP="00DA6962">
      <w:pPr>
        <w:spacing w:after="0" w:line="240" w:lineRule="auto"/>
        <w:rPr>
          <w:rFonts w:ascii="Arial" w:hAnsi="Arial" w:cs="Arial"/>
          <w:sz w:val="20"/>
          <w:szCs w:val="20"/>
          <w:lang w:val="en-GB"/>
        </w:rPr>
      </w:pPr>
    </w:p>
    <w:p w:rsidR="004311A9" w:rsidRPr="00DA6962" w:rsidRDefault="004311A9" w:rsidP="00DA6962">
      <w:pPr>
        <w:pStyle w:val="Title"/>
        <w:numPr>
          <w:ilvl w:val="1"/>
          <w:numId w:val="4"/>
        </w:numPr>
        <w:spacing w:line="240" w:lineRule="auto"/>
        <w:rPr>
          <w:rFonts w:cs="Arial"/>
          <w:sz w:val="20"/>
          <w:szCs w:val="20"/>
          <w:lang w:val="en-GB"/>
        </w:rPr>
      </w:pPr>
      <w:r w:rsidRPr="00DA6962">
        <w:rPr>
          <w:rFonts w:cs="Arial"/>
          <w:sz w:val="20"/>
          <w:szCs w:val="20"/>
          <w:lang w:val="en-GB"/>
        </w:rPr>
        <w:t xml:space="preserve">The </w:t>
      </w:r>
      <w:r w:rsidR="00DA6962">
        <w:rPr>
          <w:rFonts w:cs="Arial"/>
          <w:sz w:val="20"/>
          <w:szCs w:val="20"/>
          <w:lang w:val="en-GB"/>
        </w:rPr>
        <w:t>F</w:t>
      </w:r>
      <w:r w:rsidRPr="00DA6962">
        <w:rPr>
          <w:rFonts w:cs="Arial"/>
          <w:sz w:val="20"/>
          <w:szCs w:val="20"/>
          <w:lang w:val="en-GB"/>
        </w:rPr>
        <w:t xml:space="preserve">inancing </w:t>
      </w:r>
      <w:r w:rsidR="00DA6962">
        <w:rPr>
          <w:rFonts w:cs="Arial"/>
          <w:sz w:val="20"/>
          <w:szCs w:val="20"/>
          <w:lang w:val="en-GB"/>
        </w:rPr>
        <w:t>S</w:t>
      </w:r>
      <w:r w:rsidRPr="00DA6962">
        <w:rPr>
          <w:rFonts w:cs="Arial"/>
          <w:sz w:val="20"/>
          <w:szCs w:val="20"/>
          <w:lang w:val="en-GB"/>
        </w:rPr>
        <w:t xml:space="preserve">ystem of the </w:t>
      </w:r>
      <w:proofErr w:type="spellStart"/>
      <w:r w:rsidR="00DA6962">
        <w:rPr>
          <w:rFonts w:cs="Arial"/>
          <w:sz w:val="20"/>
          <w:szCs w:val="20"/>
          <w:lang w:val="en-GB"/>
        </w:rPr>
        <w:t>F</w:t>
      </w:r>
      <w:r w:rsidR="005B6A2A" w:rsidRPr="00DA6962">
        <w:rPr>
          <w:rFonts w:cs="Arial"/>
          <w:sz w:val="20"/>
          <w:szCs w:val="20"/>
          <w:lang w:val="en-GB"/>
        </w:rPr>
        <w:t>oral</w:t>
      </w:r>
      <w:proofErr w:type="spellEnd"/>
      <w:r w:rsidR="005B6A2A" w:rsidRPr="00DA6962">
        <w:rPr>
          <w:rFonts w:cs="Arial"/>
          <w:sz w:val="20"/>
          <w:szCs w:val="20"/>
          <w:lang w:val="en-GB"/>
        </w:rPr>
        <w:t xml:space="preserve"> </w:t>
      </w:r>
      <w:r w:rsidR="00DA6962">
        <w:rPr>
          <w:rFonts w:cs="Arial"/>
          <w:sz w:val="20"/>
          <w:szCs w:val="20"/>
          <w:lang w:val="en-GB"/>
        </w:rPr>
        <w:t>T</w:t>
      </w:r>
      <w:r w:rsidR="005B6A2A" w:rsidRPr="00DA6962">
        <w:rPr>
          <w:rFonts w:cs="Arial"/>
          <w:sz w:val="20"/>
          <w:szCs w:val="20"/>
          <w:lang w:val="en-GB"/>
        </w:rPr>
        <w:t xml:space="preserve">erritories </w:t>
      </w:r>
    </w:p>
    <w:p w:rsidR="005B6A2A" w:rsidRPr="00DA6962" w:rsidRDefault="005B6A2A" w:rsidP="00DA6962">
      <w:pPr>
        <w:spacing w:after="0" w:line="240" w:lineRule="auto"/>
        <w:rPr>
          <w:rFonts w:ascii="Arial" w:hAnsi="Arial" w:cs="Arial"/>
          <w:sz w:val="20"/>
          <w:szCs w:val="20"/>
          <w:lang w:val="en-GB"/>
        </w:rPr>
      </w:pPr>
    </w:p>
    <w:p w:rsidR="00101CED" w:rsidRPr="00DA6962" w:rsidRDefault="00101CED" w:rsidP="00DA6962">
      <w:pPr>
        <w:spacing w:after="0" w:line="240" w:lineRule="auto"/>
        <w:jc w:val="both"/>
        <w:rPr>
          <w:rFonts w:ascii="Arial" w:hAnsi="Arial" w:cs="Arial"/>
          <w:sz w:val="20"/>
          <w:szCs w:val="20"/>
          <w:lang w:val="en-GB"/>
        </w:rPr>
      </w:pPr>
      <w:r w:rsidRPr="00DA6962">
        <w:rPr>
          <w:rFonts w:ascii="Arial" w:hAnsi="Arial" w:cs="Arial"/>
          <w:sz w:val="20"/>
          <w:szCs w:val="20"/>
          <w:lang w:val="en-GB"/>
        </w:rPr>
        <w:t xml:space="preserve">The </w:t>
      </w:r>
      <w:proofErr w:type="spellStart"/>
      <w:r w:rsidRPr="00DA6962">
        <w:rPr>
          <w:rFonts w:ascii="Arial" w:hAnsi="Arial" w:cs="Arial"/>
          <w:sz w:val="20"/>
          <w:szCs w:val="20"/>
          <w:lang w:val="en-GB"/>
        </w:rPr>
        <w:t>foral</w:t>
      </w:r>
      <w:proofErr w:type="spellEnd"/>
      <w:r w:rsidRPr="00DA6962">
        <w:rPr>
          <w:rFonts w:ascii="Arial" w:hAnsi="Arial" w:cs="Arial"/>
          <w:sz w:val="20"/>
          <w:szCs w:val="20"/>
          <w:lang w:val="en-GB"/>
        </w:rPr>
        <w:t xml:space="preserve"> system is based on “historical rights”</w:t>
      </w:r>
      <w:r w:rsidR="00861705" w:rsidRPr="00DA6962">
        <w:rPr>
          <w:rFonts w:ascii="Arial" w:hAnsi="Arial" w:cs="Arial"/>
          <w:sz w:val="20"/>
          <w:szCs w:val="20"/>
          <w:lang w:val="en-GB"/>
        </w:rPr>
        <w:t>,</w:t>
      </w:r>
      <w:r w:rsidRPr="00DA6962">
        <w:rPr>
          <w:rFonts w:ascii="Arial" w:hAnsi="Arial" w:cs="Arial"/>
          <w:sz w:val="20"/>
          <w:szCs w:val="20"/>
          <w:lang w:val="en-GB"/>
        </w:rPr>
        <w:t xml:space="preserve"> as specified in the </w:t>
      </w:r>
      <w:r w:rsidR="00861705" w:rsidRPr="00DA6962">
        <w:rPr>
          <w:rFonts w:ascii="Arial" w:hAnsi="Arial" w:cs="Arial"/>
          <w:sz w:val="20"/>
          <w:szCs w:val="20"/>
          <w:lang w:val="en-GB"/>
        </w:rPr>
        <w:t xml:space="preserve">First Additional Provision of the </w:t>
      </w:r>
      <w:r w:rsidRPr="00DA6962">
        <w:rPr>
          <w:rFonts w:ascii="Arial" w:hAnsi="Arial" w:cs="Arial"/>
          <w:sz w:val="20"/>
          <w:szCs w:val="20"/>
          <w:lang w:val="en-GB"/>
        </w:rPr>
        <w:t xml:space="preserve">Constitution, and presents important peculiarities. Moreover, to my knowledge, currently there is no other developed country that employs a similar financing system. A short overview of the functioning of the </w:t>
      </w:r>
      <w:proofErr w:type="spellStart"/>
      <w:r w:rsidRPr="00DA6962">
        <w:rPr>
          <w:rFonts w:ascii="Arial" w:hAnsi="Arial" w:cs="Arial"/>
          <w:sz w:val="20"/>
          <w:szCs w:val="20"/>
          <w:lang w:val="en-GB"/>
        </w:rPr>
        <w:t>foral</w:t>
      </w:r>
      <w:proofErr w:type="spellEnd"/>
      <w:r w:rsidRPr="00DA6962">
        <w:rPr>
          <w:rFonts w:ascii="Arial" w:hAnsi="Arial" w:cs="Arial"/>
          <w:sz w:val="20"/>
          <w:szCs w:val="20"/>
          <w:lang w:val="en-GB"/>
        </w:rPr>
        <w:t xml:space="preserve"> systems reflects t</w:t>
      </w:r>
      <w:r w:rsidR="005251F2" w:rsidRPr="00DA6962">
        <w:rPr>
          <w:rFonts w:ascii="Arial" w:hAnsi="Arial" w:cs="Arial"/>
          <w:sz w:val="20"/>
          <w:szCs w:val="20"/>
          <w:lang w:val="en-GB"/>
        </w:rPr>
        <w:t>wo key features</w:t>
      </w:r>
      <w:r w:rsidRPr="00DA6962">
        <w:rPr>
          <w:rFonts w:ascii="Arial" w:hAnsi="Arial" w:cs="Arial"/>
          <w:sz w:val="20"/>
          <w:szCs w:val="20"/>
          <w:lang w:val="en-GB"/>
        </w:rPr>
        <w:t xml:space="preserve">: </w:t>
      </w:r>
      <w:proofErr w:type="spellStart"/>
      <w:r w:rsidRPr="00DA6962">
        <w:rPr>
          <w:rFonts w:ascii="Arial" w:hAnsi="Arial" w:cs="Arial"/>
          <w:sz w:val="20"/>
          <w:szCs w:val="20"/>
          <w:lang w:val="en-GB"/>
        </w:rPr>
        <w:t>foral</w:t>
      </w:r>
      <w:proofErr w:type="spellEnd"/>
      <w:r w:rsidRPr="00DA6962">
        <w:rPr>
          <w:rFonts w:ascii="Arial" w:hAnsi="Arial" w:cs="Arial"/>
          <w:sz w:val="20"/>
          <w:szCs w:val="20"/>
          <w:lang w:val="en-GB"/>
        </w:rPr>
        <w:t xml:space="preserve"> territories apply and collect all their taxes, with the exception of the custom and mandatory municipality taxes</w:t>
      </w:r>
      <w:r w:rsidR="00861705" w:rsidRPr="00DA6962">
        <w:rPr>
          <w:rFonts w:ascii="Arial" w:hAnsi="Arial" w:cs="Arial"/>
          <w:sz w:val="20"/>
          <w:szCs w:val="20"/>
          <w:lang w:val="en-GB"/>
        </w:rPr>
        <w:t xml:space="preserve">; </w:t>
      </w:r>
      <w:r w:rsidRPr="00DA6962">
        <w:rPr>
          <w:rFonts w:ascii="Arial" w:hAnsi="Arial" w:cs="Arial"/>
          <w:sz w:val="20"/>
          <w:szCs w:val="20"/>
          <w:lang w:val="en-GB"/>
        </w:rPr>
        <w:t xml:space="preserve">the </w:t>
      </w:r>
      <w:proofErr w:type="spellStart"/>
      <w:r w:rsidRPr="00DA6962">
        <w:rPr>
          <w:rFonts w:ascii="Arial" w:hAnsi="Arial" w:cs="Arial"/>
          <w:sz w:val="20"/>
          <w:szCs w:val="20"/>
          <w:lang w:val="en-GB"/>
        </w:rPr>
        <w:t>foral</w:t>
      </w:r>
      <w:proofErr w:type="spellEnd"/>
      <w:r w:rsidRPr="00DA6962">
        <w:rPr>
          <w:rFonts w:ascii="Arial" w:hAnsi="Arial" w:cs="Arial"/>
          <w:sz w:val="20"/>
          <w:szCs w:val="20"/>
          <w:lang w:val="en-GB"/>
        </w:rPr>
        <w:t xml:space="preserve"> </w:t>
      </w:r>
      <w:proofErr w:type="spellStart"/>
      <w:r w:rsidRPr="00DA6962">
        <w:rPr>
          <w:rFonts w:ascii="Arial" w:hAnsi="Arial" w:cs="Arial"/>
          <w:sz w:val="20"/>
          <w:szCs w:val="20"/>
          <w:lang w:val="en-GB"/>
        </w:rPr>
        <w:t>ACs</w:t>
      </w:r>
      <w:proofErr w:type="spellEnd"/>
      <w:r w:rsidRPr="00DA6962">
        <w:rPr>
          <w:rFonts w:ascii="Arial" w:hAnsi="Arial" w:cs="Arial"/>
          <w:sz w:val="20"/>
          <w:szCs w:val="20"/>
          <w:lang w:val="en-GB"/>
        </w:rPr>
        <w:t xml:space="preserve"> transfer to the </w:t>
      </w:r>
      <w:r w:rsidR="00861705" w:rsidRPr="00DA6962">
        <w:rPr>
          <w:rFonts w:ascii="Arial" w:hAnsi="Arial" w:cs="Arial"/>
          <w:sz w:val="20"/>
          <w:szCs w:val="20"/>
          <w:lang w:val="en-GB"/>
        </w:rPr>
        <w:t>S</w:t>
      </w:r>
      <w:r w:rsidRPr="00DA6962">
        <w:rPr>
          <w:rFonts w:ascii="Arial" w:hAnsi="Arial" w:cs="Arial"/>
          <w:sz w:val="20"/>
          <w:szCs w:val="20"/>
          <w:lang w:val="en-GB"/>
        </w:rPr>
        <w:t xml:space="preserve">tate </w:t>
      </w:r>
      <w:r w:rsidR="00861705" w:rsidRPr="00DA6962">
        <w:rPr>
          <w:rFonts w:ascii="Arial" w:hAnsi="Arial" w:cs="Arial"/>
          <w:sz w:val="20"/>
          <w:szCs w:val="20"/>
          <w:lang w:val="en-GB"/>
        </w:rPr>
        <w:t xml:space="preserve">an amount, which must </w:t>
      </w:r>
      <w:r w:rsidRPr="00DA6962">
        <w:rPr>
          <w:rFonts w:ascii="Arial" w:hAnsi="Arial" w:cs="Arial"/>
          <w:sz w:val="20"/>
          <w:szCs w:val="20"/>
          <w:lang w:val="en-GB"/>
        </w:rPr>
        <w:t xml:space="preserve">reflect the cost of the public services offered by the </w:t>
      </w:r>
      <w:r w:rsidR="00861705" w:rsidRPr="00DA6962">
        <w:rPr>
          <w:rFonts w:ascii="Arial" w:hAnsi="Arial" w:cs="Arial"/>
          <w:sz w:val="20"/>
          <w:szCs w:val="20"/>
          <w:lang w:val="en-GB"/>
        </w:rPr>
        <w:t>S</w:t>
      </w:r>
      <w:r w:rsidRPr="00DA6962">
        <w:rPr>
          <w:rFonts w:ascii="Arial" w:hAnsi="Arial" w:cs="Arial"/>
          <w:sz w:val="20"/>
          <w:szCs w:val="20"/>
          <w:lang w:val="en-GB"/>
        </w:rPr>
        <w:t xml:space="preserve">tate to the citizens of the </w:t>
      </w:r>
      <w:proofErr w:type="spellStart"/>
      <w:r w:rsidRPr="00DA6962">
        <w:rPr>
          <w:rFonts w:ascii="Arial" w:hAnsi="Arial" w:cs="Arial"/>
          <w:sz w:val="20"/>
          <w:szCs w:val="20"/>
          <w:lang w:val="en-GB"/>
        </w:rPr>
        <w:t>foral</w:t>
      </w:r>
      <w:proofErr w:type="spellEnd"/>
      <w:r w:rsidRPr="00DA6962">
        <w:rPr>
          <w:rFonts w:ascii="Arial" w:hAnsi="Arial" w:cs="Arial"/>
          <w:sz w:val="20"/>
          <w:szCs w:val="20"/>
          <w:lang w:val="en-GB"/>
        </w:rPr>
        <w:t xml:space="preserve"> territories.  </w:t>
      </w:r>
    </w:p>
    <w:p w:rsidR="00101CED" w:rsidRPr="00DA6962" w:rsidRDefault="00101CED" w:rsidP="00DA6962">
      <w:pPr>
        <w:spacing w:after="0" w:line="240" w:lineRule="auto"/>
        <w:jc w:val="both"/>
        <w:rPr>
          <w:rFonts w:ascii="Arial" w:hAnsi="Arial" w:cs="Arial"/>
          <w:sz w:val="20"/>
          <w:szCs w:val="20"/>
          <w:lang w:val="en-GB"/>
        </w:rPr>
      </w:pPr>
    </w:p>
    <w:p w:rsidR="00101CED" w:rsidRPr="00DA6962" w:rsidRDefault="00101CED" w:rsidP="00DA6962">
      <w:pPr>
        <w:spacing w:after="0" w:line="240" w:lineRule="auto"/>
        <w:jc w:val="both"/>
        <w:rPr>
          <w:rFonts w:ascii="Arial" w:hAnsi="Arial" w:cs="Arial"/>
          <w:sz w:val="20"/>
          <w:szCs w:val="20"/>
          <w:lang w:val="en-GB"/>
        </w:rPr>
      </w:pPr>
      <w:r w:rsidRPr="00DA6962">
        <w:rPr>
          <w:rFonts w:ascii="Arial" w:hAnsi="Arial" w:cs="Arial"/>
          <w:sz w:val="20"/>
          <w:szCs w:val="20"/>
          <w:lang w:val="en-GB"/>
        </w:rPr>
        <w:t xml:space="preserve">As a consequence of this system, the tax autonomy of the </w:t>
      </w:r>
      <w:proofErr w:type="spellStart"/>
      <w:r w:rsidRPr="00DA6962">
        <w:rPr>
          <w:rFonts w:ascii="Arial" w:hAnsi="Arial" w:cs="Arial"/>
          <w:sz w:val="20"/>
          <w:szCs w:val="20"/>
          <w:lang w:val="en-GB"/>
        </w:rPr>
        <w:t>foral</w:t>
      </w:r>
      <w:proofErr w:type="spellEnd"/>
      <w:r w:rsidRPr="00DA6962">
        <w:rPr>
          <w:rFonts w:ascii="Arial" w:hAnsi="Arial" w:cs="Arial"/>
          <w:sz w:val="20"/>
          <w:szCs w:val="20"/>
          <w:lang w:val="en-GB"/>
        </w:rPr>
        <w:t xml:space="preserve"> territories is very </w:t>
      </w:r>
      <w:r w:rsidR="00DA6962">
        <w:rPr>
          <w:rFonts w:ascii="Arial" w:hAnsi="Arial" w:cs="Arial"/>
          <w:sz w:val="20"/>
          <w:szCs w:val="20"/>
          <w:lang w:val="en-GB"/>
        </w:rPr>
        <w:t>large</w:t>
      </w:r>
      <w:r w:rsidRPr="00DA6962">
        <w:rPr>
          <w:rFonts w:ascii="Arial" w:hAnsi="Arial" w:cs="Arial"/>
          <w:sz w:val="20"/>
          <w:szCs w:val="20"/>
          <w:lang w:val="en-GB"/>
        </w:rPr>
        <w:t>, especially in what regards the application of direct taxes; these territories establish their own legislation and are also in charge of administrating and controlling these taxes</w:t>
      </w:r>
      <w:r w:rsidR="00DA6962">
        <w:rPr>
          <w:rFonts w:ascii="Arial" w:hAnsi="Arial" w:cs="Arial"/>
          <w:sz w:val="20"/>
          <w:szCs w:val="20"/>
          <w:lang w:val="en-GB"/>
        </w:rPr>
        <w:t>.</w:t>
      </w:r>
      <w:r w:rsidR="0055440C" w:rsidRPr="00DA6962">
        <w:rPr>
          <w:rStyle w:val="FootnoteReference"/>
          <w:rFonts w:ascii="Arial" w:hAnsi="Arial" w:cs="Arial"/>
          <w:sz w:val="20"/>
          <w:szCs w:val="20"/>
          <w:lang w:val="en-GB"/>
        </w:rPr>
        <w:footnoteReference w:id="2"/>
      </w:r>
      <w:r w:rsidRPr="00DA6962">
        <w:rPr>
          <w:rFonts w:ascii="Arial" w:hAnsi="Arial" w:cs="Arial"/>
          <w:sz w:val="20"/>
          <w:szCs w:val="20"/>
          <w:lang w:val="en-GB"/>
        </w:rPr>
        <w:t xml:space="preserve"> For example, these territories apply their own personal income tax or corporate tax and, are also in charge of all the phases related with their application and control. The national income tax and corporation tax are </w:t>
      </w:r>
      <w:r w:rsidR="00E22B64" w:rsidRPr="00DA6962">
        <w:rPr>
          <w:rFonts w:ascii="Arial" w:hAnsi="Arial" w:cs="Arial"/>
          <w:sz w:val="20"/>
          <w:szCs w:val="20"/>
          <w:lang w:val="en-GB"/>
        </w:rPr>
        <w:t xml:space="preserve">usually </w:t>
      </w:r>
      <w:r w:rsidRPr="00DA6962">
        <w:rPr>
          <w:rFonts w:ascii="Arial" w:hAnsi="Arial" w:cs="Arial"/>
          <w:sz w:val="20"/>
          <w:szCs w:val="20"/>
          <w:lang w:val="en-GB"/>
        </w:rPr>
        <w:t xml:space="preserve">not applied in these regions. In regards with indirect taxes, it is also worthy of mentioning the fact that these territories retain the part of taxes that corresponds to them, although, in this case their tax power is more limited as a result of the harmonised norms of the European Union </w:t>
      </w:r>
      <w:r w:rsidR="00DA6962">
        <w:rPr>
          <w:rFonts w:ascii="Arial" w:hAnsi="Arial" w:cs="Arial"/>
          <w:sz w:val="20"/>
          <w:szCs w:val="20"/>
          <w:lang w:val="en-GB"/>
        </w:rPr>
        <w:t xml:space="preserve">(EU) </w:t>
      </w:r>
      <w:r w:rsidRPr="00DA6962">
        <w:rPr>
          <w:rFonts w:ascii="Arial" w:hAnsi="Arial" w:cs="Arial"/>
          <w:sz w:val="20"/>
          <w:szCs w:val="20"/>
          <w:lang w:val="en-GB"/>
        </w:rPr>
        <w:t xml:space="preserve">regarding </w:t>
      </w:r>
      <w:r w:rsidR="00DA6962">
        <w:rPr>
          <w:rFonts w:ascii="Arial" w:hAnsi="Arial" w:cs="Arial"/>
          <w:sz w:val="20"/>
          <w:szCs w:val="20"/>
          <w:lang w:val="en-GB"/>
        </w:rPr>
        <w:t>value-added tax (</w:t>
      </w:r>
      <w:r w:rsidRPr="00DA6962">
        <w:rPr>
          <w:rFonts w:ascii="Arial" w:hAnsi="Arial" w:cs="Arial"/>
          <w:sz w:val="20"/>
          <w:szCs w:val="20"/>
          <w:lang w:val="en-GB"/>
        </w:rPr>
        <w:t>VAT</w:t>
      </w:r>
      <w:r w:rsidR="00DA6962">
        <w:rPr>
          <w:rFonts w:ascii="Arial" w:hAnsi="Arial" w:cs="Arial"/>
          <w:sz w:val="20"/>
          <w:szCs w:val="20"/>
          <w:lang w:val="en-GB"/>
        </w:rPr>
        <w:t>)</w:t>
      </w:r>
      <w:r w:rsidRPr="00DA6962">
        <w:rPr>
          <w:rFonts w:ascii="Arial" w:hAnsi="Arial" w:cs="Arial"/>
          <w:sz w:val="20"/>
          <w:szCs w:val="20"/>
          <w:lang w:val="en-GB"/>
        </w:rPr>
        <w:t xml:space="preserve"> and excises duties. Therefore, they </w:t>
      </w:r>
      <w:r w:rsidR="00E22B64" w:rsidRPr="00DA6962">
        <w:rPr>
          <w:rFonts w:ascii="Arial" w:hAnsi="Arial" w:cs="Arial"/>
          <w:sz w:val="20"/>
          <w:szCs w:val="20"/>
          <w:lang w:val="en-GB"/>
        </w:rPr>
        <w:t xml:space="preserve">levy </w:t>
      </w:r>
      <w:r w:rsidRPr="00DA6962">
        <w:rPr>
          <w:rFonts w:ascii="Arial" w:hAnsi="Arial" w:cs="Arial"/>
          <w:sz w:val="20"/>
          <w:szCs w:val="20"/>
          <w:lang w:val="en-GB"/>
        </w:rPr>
        <w:t>the national VAT or excise duties.</w:t>
      </w:r>
    </w:p>
    <w:p w:rsidR="00101CED" w:rsidRPr="00DA6962" w:rsidRDefault="00101CED" w:rsidP="00DA6962">
      <w:pPr>
        <w:spacing w:after="0" w:line="240" w:lineRule="auto"/>
        <w:jc w:val="both"/>
        <w:rPr>
          <w:rFonts w:ascii="Arial" w:hAnsi="Arial" w:cs="Arial"/>
          <w:sz w:val="20"/>
          <w:szCs w:val="20"/>
          <w:lang w:val="en-GB"/>
        </w:rPr>
      </w:pPr>
    </w:p>
    <w:p w:rsidR="00101CED" w:rsidRPr="00DA6962" w:rsidRDefault="00101CED" w:rsidP="00DA6962">
      <w:pPr>
        <w:spacing w:after="0" w:line="240" w:lineRule="auto"/>
        <w:jc w:val="both"/>
        <w:rPr>
          <w:rFonts w:ascii="Arial" w:hAnsi="Arial" w:cs="Arial"/>
          <w:sz w:val="20"/>
          <w:szCs w:val="20"/>
          <w:lang w:val="en-GB"/>
        </w:rPr>
      </w:pPr>
      <w:r w:rsidRPr="00DA6962">
        <w:rPr>
          <w:rFonts w:ascii="Arial" w:hAnsi="Arial" w:cs="Arial"/>
          <w:sz w:val="20"/>
          <w:szCs w:val="20"/>
          <w:lang w:val="en-GB"/>
        </w:rPr>
        <w:t xml:space="preserve">The revenues obtained from their taxes allow the </w:t>
      </w:r>
      <w:proofErr w:type="spellStart"/>
      <w:r w:rsidRPr="00DA6962">
        <w:rPr>
          <w:rFonts w:ascii="Arial" w:hAnsi="Arial" w:cs="Arial"/>
          <w:sz w:val="20"/>
          <w:szCs w:val="20"/>
          <w:lang w:val="en-GB"/>
        </w:rPr>
        <w:t>foral</w:t>
      </w:r>
      <w:proofErr w:type="spellEnd"/>
      <w:r w:rsidRPr="00DA6962">
        <w:rPr>
          <w:rFonts w:ascii="Arial" w:hAnsi="Arial" w:cs="Arial"/>
          <w:sz w:val="20"/>
          <w:szCs w:val="20"/>
          <w:lang w:val="en-GB"/>
        </w:rPr>
        <w:t xml:space="preserve"> communities to finance all their designated competences, and to contribute to the financing of all the other services provided by the </w:t>
      </w:r>
      <w:r w:rsidR="00235CDC" w:rsidRPr="00DA6962">
        <w:rPr>
          <w:rFonts w:ascii="Arial" w:hAnsi="Arial" w:cs="Arial"/>
          <w:sz w:val="20"/>
          <w:szCs w:val="20"/>
          <w:lang w:val="en-GB"/>
        </w:rPr>
        <w:t>S</w:t>
      </w:r>
      <w:r w:rsidRPr="00DA6962">
        <w:rPr>
          <w:rFonts w:ascii="Arial" w:hAnsi="Arial" w:cs="Arial"/>
          <w:sz w:val="20"/>
          <w:szCs w:val="20"/>
          <w:lang w:val="en-GB"/>
        </w:rPr>
        <w:t xml:space="preserve">tate to their citizens. </w:t>
      </w:r>
    </w:p>
    <w:p w:rsidR="00101CED" w:rsidRPr="00DA6962" w:rsidRDefault="00101CED" w:rsidP="00DA6962">
      <w:pPr>
        <w:spacing w:after="0" w:line="240" w:lineRule="auto"/>
        <w:jc w:val="both"/>
        <w:rPr>
          <w:rFonts w:ascii="Arial" w:hAnsi="Arial" w:cs="Arial"/>
          <w:sz w:val="20"/>
          <w:szCs w:val="20"/>
          <w:lang w:val="en-GB"/>
        </w:rPr>
      </w:pPr>
    </w:p>
    <w:p w:rsidR="00DE3FFA" w:rsidRPr="00DA6962" w:rsidRDefault="00101CED" w:rsidP="00DA6962">
      <w:pPr>
        <w:spacing w:after="0" w:line="240" w:lineRule="auto"/>
        <w:jc w:val="both"/>
        <w:rPr>
          <w:rFonts w:ascii="Arial" w:hAnsi="Arial" w:cs="Arial"/>
          <w:sz w:val="20"/>
          <w:szCs w:val="20"/>
          <w:lang w:val="en-GB"/>
        </w:rPr>
      </w:pPr>
      <w:r w:rsidRPr="00DA6962">
        <w:rPr>
          <w:rFonts w:ascii="Arial" w:hAnsi="Arial" w:cs="Arial"/>
          <w:sz w:val="20"/>
          <w:szCs w:val="20"/>
          <w:lang w:val="en-GB"/>
        </w:rPr>
        <w:t>The calculation system employed in determining this contribution, known as quota (</w:t>
      </w:r>
      <w:proofErr w:type="spellStart"/>
      <w:r w:rsidRPr="00DA6962">
        <w:rPr>
          <w:rFonts w:ascii="Arial" w:hAnsi="Arial" w:cs="Arial"/>
          <w:i/>
          <w:sz w:val="20"/>
          <w:szCs w:val="20"/>
          <w:lang w:val="en-GB"/>
        </w:rPr>
        <w:t>cupo</w:t>
      </w:r>
      <w:proofErr w:type="spellEnd"/>
      <w:r w:rsidRPr="00DA6962">
        <w:rPr>
          <w:rFonts w:ascii="Arial" w:hAnsi="Arial" w:cs="Arial"/>
          <w:sz w:val="20"/>
          <w:szCs w:val="20"/>
          <w:lang w:val="en-GB"/>
        </w:rPr>
        <w:t>) in the Basque Country and payment (</w:t>
      </w:r>
      <w:proofErr w:type="spellStart"/>
      <w:r w:rsidRPr="00DA6962">
        <w:rPr>
          <w:rFonts w:ascii="Arial" w:hAnsi="Arial" w:cs="Arial"/>
          <w:i/>
          <w:sz w:val="20"/>
          <w:szCs w:val="20"/>
          <w:lang w:val="en-GB"/>
        </w:rPr>
        <w:t>aportación</w:t>
      </w:r>
      <w:proofErr w:type="spellEnd"/>
      <w:r w:rsidRPr="00DA6962">
        <w:rPr>
          <w:rFonts w:ascii="Arial" w:hAnsi="Arial" w:cs="Arial"/>
          <w:sz w:val="20"/>
          <w:szCs w:val="20"/>
          <w:lang w:val="en-GB"/>
        </w:rPr>
        <w:t xml:space="preserve">) in Navarre, is therefore of crucial importance when determining the net results of the </w:t>
      </w:r>
      <w:proofErr w:type="spellStart"/>
      <w:r w:rsidRPr="00DA6962">
        <w:rPr>
          <w:rFonts w:ascii="Arial" w:hAnsi="Arial" w:cs="Arial"/>
          <w:sz w:val="20"/>
          <w:szCs w:val="20"/>
          <w:lang w:val="en-GB"/>
        </w:rPr>
        <w:t>foral</w:t>
      </w:r>
      <w:proofErr w:type="spellEnd"/>
      <w:r w:rsidRPr="00DA6962">
        <w:rPr>
          <w:rFonts w:ascii="Arial" w:hAnsi="Arial" w:cs="Arial"/>
          <w:sz w:val="20"/>
          <w:szCs w:val="20"/>
          <w:lang w:val="en-GB"/>
        </w:rPr>
        <w:t xml:space="preserve"> system, and even more important when comparing the </w:t>
      </w:r>
      <w:proofErr w:type="spellStart"/>
      <w:r w:rsidRPr="00DA6962">
        <w:rPr>
          <w:rFonts w:ascii="Arial" w:hAnsi="Arial" w:cs="Arial"/>
          <w:sz w:val="20"/>
          <w:szCs w:val="20"/>
          <w:lang w:val="en-GB"/>
        </w:rPr>
        <w:t>foral</w:t>
      </w:r>
      <w:proofErr w:type="spellEnd"/>
      <w:r w:rsidRPr="00DA6962">
        <w:rPr>
          <w:rFonts w:ascii="Arial" w:hAnsi="Arial" w:cs="Arial"/>
          <w:sz w:val="20"/>
          <w:szCs w:val="20"/>
          <w:lang w:val="en-GB"/>
        </w:rPr>
        <w:t xml:space="preserve"> system with the common regime applied to the rest of the ACs. This matter will be emphasised later in this paper, but I already highlight that the final result shows that the </w:t>
      </w:r>
      <w:proofErr w:type="spellStart"/>
      <w:r w:rsidRPr="00DA6962">
        <w:rPr>
          <w:rFonts w:ascii="Arial" w:hAnsi="Arial" w:cs="Arial"/>
          <w:sz w:val="20"/>
          <w:szCs w:val="20"/>
          <w:lang w:val="en-GB"/>
        </w:rPr>
        <w:t>foral</w:t>
      </w:r>
      <w:proofErr w:type="spellEnd"/>
      <w:r w:rsidRPr="00DA6962">
        <w:rPr>
          <w:rFonts w:ascii="Arial" w:hAnsi="Arial" w:cs="Arial"/>
          <w:sz w:val="20"/>
          <w:szCs w:val="20"/>
          <w:lang w:val="en-GB"/>
        </w:rPr>
        <w:t xml:space="preserve"> communities are greatly favoured by their financing system. If these communities were to apply the common regime, their results would be lower given that these territories have an average income higher than the Spanish average. The difference relies in the fact that the </w:t>
      </w:r>
      <w:proofErr w:type="spellStart"/>
      <w:r w:rsidRPr="00DA6962">
        <w:rPr>
          <w:rFonts w:ascii="Arial" w:hAnsi="Arial" w:cs="Arial"/>
          <w:sz w:val="20"/>
          <w:szCs w:val="20"/>
          <w:lang w:val="en-GB"/>
        </w:rPr>
        <w:t>foral</w:t>
      </w:r>
      <w:proofErr w:type="spellEnd"/>
      <w:r w:rsidRPr="00DA6962">
        <w:rPr>
          <w:rFonts w:ascii="Arial" w:hAnsi="Arial" w:cs="Arial"/>
          <w:sz w:val="20"/>
          <w:szCs w:val="20"/>
          <w:lang w:val="en-GB"/>
        </w:rPr>
        <w:t xml:space="preserve"> communities do not participate in the equalisation mechanism of the financing system of the common regime. This allows these communities to maintain their resources, which, without a doubt, is not equitable to the other communities. </w:t>
      </w:r>
      <w:r w:rsidR="002D3114" w:rsidRPr="00DA6962">
        <w:rPr>
          <w:rFonts w:ascii="Arial" w:hAnsi="Arial" w:cs="Arial"/>
          <w:sz w:val="20"/>
          <w:szCs w:val="20"/>
          <w:lang w:val="en-GB"/>
        </w:rPr>
        <w:t>In</w:t>
      </w:r>
      <w:r w:rsidR="0066439F" w:rsidRPr="00DA6962">
        <w:rPr>
          <w:rFonts w:ascii="Arial" w:hAnsi="Arial" w:cs="Arial"/>
          <w:sz w:val="20"/>
          <w:szCs w:val="20"/>
          <w:lang w:val="en-GB"/>
        </w:rPr>
        <w:t>deed</w:t>
      </w:r>
      <w:r w:rsidR="002D3114" w:rsidRPr="00DA6962">
        <w:rPr>
          <w:rFonts w:ascii="Arial" w:hAnsi="Arial" w:cs="Arial"/>
          <w:sz w:val="20"/>
          <w:szCs w:val="20"/>
          <w:lang w:val="en-GB"/>
        </w:rPr>
        <w:t>, when calculating the Basque quota or the Navarre payment, the equali</w:t>
      </w:r>
      <w:r w:rsidR="00D16E7D" w:rsidRPr="00DA6962">
        <w:rPr>
          <w:rFonts w:ascii="Arial" w:hAnsi="Arial" w:cs="Arial"/>
          <w:sz w:val="20"/>
          <w:szCs w:val="20"/>
          <w:lang w:val="en-GB"/>
        </w:rPr>
        <w:t>s</w:t>
      </w:r>
      <w:r w:rsidR="002D3114" w:rsidRPr="00DA6962">
        <w:rPr>
          <w:rFonts w:ascii="Arial" w:hAnsi="Arial" w:cs="Arial"/>
          <w:sz w:val="20"/>
          <w:szCs w:val="20"/>
          <w:lang w:val="en-GB"/>
        </w:rPr>
        <w:t xml:space="preserve">ation is not taken into account, hence these communities do not participate in the financing of the equalisation </w:t>
      </w:r>
      <w:r w:rsidR="00D16E7D" w:rsidRPr="00DA6962">
        <w:rPr>
          <w:rFonts w:ascii="Arial" w:hAnsi="Arial" w:cs="Arial"/>
          <w:sz w:val="20"/>
          <w:szCs w:val="20"/>
          <w:lang w:val="en-GB"/>
        </w:rPr>
        <w:t>grants</w:t>
      </w:r>
      <w:r w:rsidR="002D3114" w:rsidRPr="00DA6962">
        <w:rPr>
          <w:rFonts w:ascii="Arial" w:hAnsi="Arial" w:cs="Arial"/>
          <w:sz w:val="20"/>
          <w:szCs w:val="20"/>
          <w:lang w:val="en-GB"/>
        </w:rPr>
        <w:t xml:space="preserve">. </w:t>
      </w:r>
    </w:p>
    <w:p w:rsidR="005B6A2A" w:rsidRDefault="005B6A2A" w:rsidP="00DA6962">
      <w:pPr>
        <w:spacing w:after="0" w:line="240" w:lineRule="auto"/>
        <w:rPr>
          <w:rFonts w:ascii="Arial" w:hAnsi="Arial" w:cs="Arial"/>
          <w:sz w:val="20"/>
          <w:szCs w:val="20"/>
          <w:lang w:val="en-GB"/>
        </w:rPr>
      </w:pPr>
    </w:p>
    <w:p w:rsidR="0075535B" w:rsidRDefault="0075535B" w:rsidP="00DA6962">
      <w:pPr>
        <w:spacing w:after="0" w:line="240" w:lineRule="auto"/>
        <w:rPr>
          <w:rFonts w:ascii="Arial" w:hAnsi="Arial" w:cs="Arial"/>
          <w:sz w:val="20"/>
          <w:szCs w:val="20"/>
          <w:lang w:val="en-GB"/>
        </w:rPr>
      </w:pPr>
    </w:p>
    <w:p w:rsidR="0075535B" w:rsidRDefault="0075535B" w:rsidP="00DA6962">
      <w:pPr>
        <w:spacing w:after="0" w:line="240" w:lineRule="auto"/>
        <w:rPr>
          <w:rFonts w:ascii="Arial" w:hAnsi="Arial" w:cs="Arial"/>
          <w:sz w:val="20"/>
          <w:szCs w:val="20"/>
          <w:lang w:val="en-GB"/>
        </w:rPr>
      </w:pPr>
    </w:p>
    <w:p w:rsidR="0075535B" w:rsidRDefault="0075535B" w:rsidP="00DA6962">
      <w:pPr>
        <w:spacing w:after="0" w:line="240" w:lineRule="auto"/>
        <w:rPr>
          <w:rFonts w:ascii="Arial" w:hAnsi="Arial" w:cs="Arial"/>
          <w:sz w:val="20"/>
          <w:szCs w:val="20"/>
          <w:lang w:val="en-GB"/>
        </w:rPr>
      </w:pPr>
    </w:p>
    <w:p w:rsidR="0075535B" w:rsidRPr="00DA6962" w:rsidRDefault="0075535B" w:rsidP="00DA6962">
      <w:pPr>
        <w:spacing w:after="0" w:line="240" w:lineRule="auto"/>
        <w:rPr>
          <w:rFonts w:ascii="Arial" w:hAnsi="Arial" w:cs="Arial"/>
          <w:sz w:val="20"/>
          <w:szCs w:val="20"/>
          <w:lang w:val="en-GB"/>
        </w:rPr>
      </w:pPr>
    </w:p>
    <w:p w:rsidR="007710F8" w:rsidRPr="00DA6962" w:rsidRDefault="007710F8" w:rsidP="00DA6962">
      <w:pPr>
        <w:pStyle w:val="Title"/>
        <w:numPr>
          <w:ilvl w:val="1"/>
          <w:numId w:val="4"/>
        </w:numPr>
        <w:spacing w:line="240" w:lineRule="auto"/>
        <w:rPr>
          <w:rFonts w:cs="Arial"/>
          <w:sz w:val="20"/>
          <w:szCs w:val="20"/>
          <w:lang w:val="en-GB"/>
        </w:rPr>
      </w:pPr>
      <w:r w:rsidRPr="00DA6962">
        <w:rPr>
          <w:rFonts w:cs="Arial"/>
          <w:sz w:val="20"/>
          <w:szCs w:val="20"/>
          <w:lang w:val="en-GB"/>
        </w:rPr>
        <w:lastRenderedPageBreak/>
        <w:t>The</w:t>
      </w:r>
      <w:r w:rsidR="00F11FAA" w:rsidRPr="00DA6962">
        <w:rPr>
          <w:rFonts w:cs="Arial"/>
          <w:sz w:val="20"/>
          <w:szCs w:val="20"/>
          <w:lang w:val="en-GB"/>
        </w:rPr>
        <w:t xml:space="preserve"> Spanish</w:t>
      </w:r>
      <w:r w:rsidRPr="00DA6962">
        <w:rPr>
          <w:rFonts w:cs="Arial"/>
          <w:sz w:val="20"/>
          <w:szCs w:val="20"/>
          <w:lang w:val="en-GB"/>
        </w:rPr>
        <w:t xml:space="preserve"> </w:t>
      </w:r>
      <w:r w:rsidR="00DA6962">
        <w:rPr>
          <w:rFonts w:cs="Arial"/>
          <w:sz w:val="20"/>
          <w:szCs w:val="20"/>
          <w:lang w:val="en-GB"/>
        </w:rPr>
        <w:t>F</w:t>
      </w:r>
      <w:r w:rsidRPr="00DA6962">
        <w:rPr>
          <w:rFonts w:cs="Arial"/>
          <w:sz w:val="20"/>
          <w:szCs w:val="20"/>
          <w:lang w:val="en-GB"/>
        </w:rPr>
        <w:t xml:space="preserve">inancing </w:t>
      </w:r>
      <w:r w:rsidR="00DA6962">
        <w:rPr>
          <w:rFonts w:cs="Arial"/>
          <w:sz w:val="20"/>
          <w:szCs w:val="20"/>
          <w:lang w:val="en-GB"/>
        </w:rPr>
        <w:t>S</w:t>
      </w:r>
      <w:r w:rsidRPr="00DA6962">
        <w:rPr>
          <w:rFonts w:cs="Arial"/>
          <w:sz w:val="20"/>
          <w:szCs w:val="20"/>
          <w:lang w:val="en-GB"/>
        </w:rPr>
        <w:t xml:space="preserve">ystem of the </w:t>
      </w:r>
      <w:proofErr w:type="spellStart"/>
      <w:r w:rsidRPr="00DA6962">
        <w:rPr>
          <w:rFonts w:cs="Arial"/>
          <w:sz w:val="20"/>
          <w:szCs w:val="20"/>
          <w:lang w:val="en-GB"/>
        </w:rPr>
        <w:t>ACs</w:t>
      </w:r>
      <w:proofErr w:type="spellEnd"/>
      <w:r w:rsidR="00F11FAA" w:rsidRPr="00DA6962">
        <w:rPr>
          <w:rFonts w:cs="Arial"/>
          <w:sz w:val="20"/>
          <w:szCs w:val="20"/>
          <w:lang w:val="en-GB"/>
        </w:rPr>
        <w:t xml:space="preserve"> of </w:t>
      </w:r>
      <w:r w:rsidR="00DA6962">
        <w:rPr>
          <w:rFonts w:cs="Arial"/>
          <w:sz w:val="20"/>
          <w:szCs w:val="20"/>
          <w:lang w:val="en-GB"/>
        </w:rPr>
        <w:t>C</w:t>
      </w:r>
      <w:r w:rsidR="00F11FAA" w:rsidRPr="00DA6962">
        <w:rPr>
          <w:rFonts w:cs="Arial"/>
          <w:sz w:val="20"/>
          <w:szCs w:val="20"/>
          <w:lang w:val="en-GB"/>
        </w:rPr>
        <w:t xml:space="preserve">ommon </w:t>
      </w:r>
      <w:r w:rsidR="00DA6962">
        <w:rPr>
          <w:rFonts w:cs="Arial"/>
          <w:sz w:val="20"/>
          <w:szCs w:val="20"/>
          <w:lang w:val="en-GB"/>
        </w:rPr>
        <w:t>R</w:t>
      </w:r>
      <w:r w:rsidR="00F11FAA" w:rsidRPr="00DA6962">
        <w:rPr>
          <w:rFonts w:cs="Arial"/>
          <w:sz w:val="20"/>
          <w:szCs w:val="20"/>
          <w:lang w:val="en-GB"/>
        </w:rPr>
        <w:t>egim</w:t>
      </w:r>
      <w:r w:rsidR="000627DA" w:rsidRPr="00DA6962">
        <w:rPr>
          <w:rFonts w:cs="Arial"/>
          <w:sz w:val="20"/>
          <w:szCs w:val="20"/>
          <w:lang w:val="en-GB"/>
        </w:rPr>
        <w:t>e</w:t>
      </w:r>
    </w:p>
    <w:p w:rsidR="000627DA" w:rsidRPr="00DA6962" w:rsidRDefault="000627DA" w:rsidP="00DA6962">
      <w:pPr>
        <w:spacing w:after="0" w:line="240" w:lineRule="auto"/>
        <w:rPr>
          <w:rFonts w:ascii="Arial" w:hAnsi="Arial" w:cs="Arial"/>
          <w:b/>
          <w:sz w:val="20"/>
          <w:szCs w:val="20"/>
          <w:lang w:val="en-GB"/>
        </w:rPr>
      </w:pPr>
    </w:p>
    <w:p w:rsidR="000B5DC6" w:rsidRPr="00DA6962" w:rsidRDefault="000B5DC6" w:rsidP="00DA6962">
      <w:pPr>
        <w:spacing w:after="0" w:line="240" w:lineRule="auto"/>
        <w:jc w:val="both"/>
        <w:rPr>
          <w:rFonts w:ascii="Arial" w:hAnsi="Arial" w:cs="Arial"/>
          <w:b/>
          <w:sz w:val="20"/>
          <w:szCs w:val="20"/>
          <w:lang w:val="en-GB"/>
        </w:rPr>
      </w:pPr>
      <w:r w:rsidRPr="00DA6962">
        <w:rPr>
          <w:rFonts w:ascii="Arial" w:hAnsi="Arial" w:cs="Arial"/>
          <w:b/>
          <w:sz w:val="20"/>
          <w:szCs w:val="20"/>
          <w:lang w:val="en-GB"/>
        </w:rPr>
        <w:t xml:space="preserve">Initial </w:t>
      </w:r>
      <w:r w:rsidR="00DA6962">
        <w:rPr>
          <w:rFonts w:ascii="Arial" w:hAnsi="Arial" w:cs="Arial"/>
          <w:b/>
          <w:sz w:val="20"/>
          <w:szCs w:val="20"/>
          <w:lang w:val="en-GB"/>
        </w:rPr>
        <w:t>P</w:t>
      </w:r>
      <w:r w:rsidRPr="00DA6962">
        <w:rPr>
          <w:rFonts w:ascii="Arial" w:hAnsi="Arial" w:cs="Arial"/>
          <w:b/>
          <w:sz w:val="20"/>
          <w:szCs w:val="20"/>
          <w:lang w:val="en-GB"/>
        </w:rPr>
        <w:t>hase</w:t>
      </w:r>
    </w:p>
    <w:p w:rsidR="00E841A6" w:rsidRPr="00DA6962" w:rsidRDefault="00E841A6" w:rsidP="00DA6962">
      <w:pPr>
        <w:spacing w:after="0" w:line="240" w:lineRule="auto"/>
        <w:rPr>
          <w:rFonts w:ascii="Arial" w:hAnsi="Arial" w:cs="Arial"/>
          <w:b/>
          <w:sz w:val="20"/>
          <w:szCs w:val="20"/>
          <w:lang w:val="en-GB"/>
        </w:rPr>
      </w:pPr>
    </w:p>
    <w:p w:rsidR="000B5DC6" w:rsidRPr="00DA6962" w:rsidRDefault="000B5DC6" w:rsidP="00DA6962">
      <w:pPr>
        <w:spacing w:after="0" w:line="240" w:lineRule="auto"/>
        <w:rPr>
          <w:rFonts w:ascii="Arial" w:hAnsi="Arial" w:cs="Arial"/>
          <w:sz w:val="20"/>
          <w:szCs w:val="20"/>
          <w:lang w:val="en-GB"/>
        </w:rPr>
      </w:pPr>
      <w:r w:rsidRPr="00DA6962">
        <w:rPr>
          <w:rFonts w:ascii="Arial" w:hAnsi="Arial" w:cs="Arial"/>
          <w:sz w:val="20"/>
          <w:szCs w:val="20"/>
          <w:lang w:val="en-GB"/>
        </w:rPr>
        <w:t>Article 157.1 of the Spanish Constitution states that</w:t>
      </w:r>
      <w:r w:rsidR="009A736C">
        <w:rPr>
          <w:rFonts w:ascii="Arial" w:hAnsi="Arial" w:cs="Arial"/>
          <w:sz w:val="20"/>
          <w:szCs w:val="20"/>
          <w:lang w:val="en-GB"/>
        </w:rPr>
        <w:t>:</w:t>
      </w:r>
    </w:p>
    <w:p w:rsidR="00E22B64" w:rsidRPr="00DA6962" w:rsidRDefault="00E22B64" w:rsidP="00DA6962">
      <w:pPr>
        <w:spacing w:after="0" w:line="240" w:lineRule="auto"/>
        <w:rPr>
          <w:rFonts w:ascii="Arial" w:hAnsi="Arial" w:cs="Arial"/>
          <w:sz w:val="20"/>
          <w:szCs w:val="20"/>
          <w:lang w:val="en-GB"/>
        </w:rPr>
      </w:pPr>
    </w:p>
    <w:p w:rsidR="000627DA" w:rsidRPr="00DA6962" w:rsidRDefault="000627DA" w:rsidP="00DA6962">
      <w:pPr>
        <w:spacing w:after="0" w:line="240" w:lineRule="auto"/>
        <w:jc w:val="both"/>
        <w:rPr>
          <w:rFonts w:ascii="Arial" w:hAnsi="Arial" w:cs="Arial"/>
          <w:i/>
          <w:sz w:val="20"/>
          <w:szCs w:val="20"/>
          <w:lang w:val="en-GB"/>
        </w:rPr>
      </w:pPr>
      <w:r w:rsidRPr="00DA6962">
        <w:rPr>
          <w:rFonts w:ascii="Arial" w:hAnsi="Arial" w:cs="Arial"/>
          <w:i/>
          <w:sz w:val="20"/>
          <w:szCs w:val="20"/>
          <w:lang w:val="en-GB"/>
        </w:rPr>
        <w:t>“The resources of the Self-governing Communities shall consist of:</w:t>
      </w:r>
    </w:p>
    <w:p w:rsidR="000627DA" w:rsidRPr="00DA6962" w:rsidRDefault="000627DA" w:rsidP="00DA6962">
      <w:pPr>
        <w:spacing w:after="0" w:line="240" w:lineRule="auto"/>
        <w:jc w:val="both"/>
        <w:rPr>
          <w:rFonts w:ascii="Arial" w:hAnsi="Arial" w:cs="Arial"/>
          <w:i/>
          <w:sz w:val="20"/>
          <w:szCs w:val="20"/>
          <w:lang w:val="en-GB"/>
        </w:rPr>
      </w:pPr>
      <w:r w:rsidRPr="00DA6962">
        <w:rPr>
          <w:rFonts w:ascii="Arial" w:hAnsi="Arial" w:cs="Arial"/>
          <w:i/>
          <w:sz w:val="20"/>
          <w:szCs w:val="20"/>
          <w:lang w:val="en-GB"/>
        </w:rPr>
        <w:t>a) Taxes wholly or partially made over to them by the State; surcharges on State taxes and other shares in State revenue.</w:t>
      </w:r>
    </w:p>
    <w:p w:rsidR="000627DA" w:rsidRPr="00DA6962" w:rsidRDefault="000627DA" w:rsidP="00DA6962">
      <w:pPr>
        <w:spacing w:after="0" w:line="240" w:lineRule="auto"/>
        <w:jc w:val="both"/>
        <w:rPr>
          <w:rFonts w:ascii="Arial" w:hAnsi="Arial" w:cs="Arial"/>
          <w:i/>
          <w:sz w:val="20"/>
          <w:szCs w:val="20"/>
          <w:lang w:val="en-GB"/>
        </w:rPr>
      </w:pPr>
      <w:r w:rsidRPr="00DA6962">
        <w:rPr>
          <w:rFonts w:ascii="Arial" w:hAnsi="Arial" w:cs="Arial"/>
          <w:i/>
          <w:sz w:val="20"/>
          <w:szCs w:val="20"/>
          <w:lang w:val="en-GB"/>
        </w:rPr>
        <w:t>b) Their own taxes, rates and special levies.</w:t>
      </w:r>
    </w:p>
    <w:p w:rsidR="000627DA" w:rsidRPr="00DA6962" w:rsidRDefault="000627DA" w:rsidP="00DA6962">
      <w:pPr>
        <w:spacing w:after="0" w:line="240" w:lineRule="auto"/>
        <w:jc w:val="both"/>
        <w:rPr>
          <w:rFonts w:ascii="Arial" w:hAnsi="Arial" w:cs="Arial"/>
          <w:i/>
          <w:sz w:val="20"/>
          <w:szCs w:val="20"/>
          <w:lang w:val="en-GB"/>
        </w:rPr>
      </w:pPr>
      <w:r w:rsidRPr="00DA6962">
        <w:rPr>
          <w:rFonts w:ascii="Arial" w:hAnsi="Arial" w:cs="Arial"/>
          <w:i/>
          <w:sz w:val="20"/>
          <w:szCs w:val="20"/>
          <w:lang w:val="en-GB"/>
        </w:rPr>
        <w:t>c) Transfers from an inter-territorial compensation fund and other allocations to be charged to the State Budget.</w:t>
      </w:r>
    </w:p>
    <w:p w:rsidR="000627DA" w:rsidRPr="00DA6962" w:rsidRDefault="000627DA" w:rsidP="00DA6962">
      <w:pPr>
        <w:spacing w:after="0" w:line="240" w:lineRule="auto"/>
        <w:jc w:val="both"/>
        <w:rPr>
          <w:rFonts w:ascii="Arial" w:hAnsi="Arial" w:cs="Arial"/>
          <w:i/>
          <w:sz w:val="20"/>
          <w:szCs w:val="20"/>
          <w:lang w:val="en-GB"/>
        </w:rPr>
      </w:pPr>
      <w:r w:rsidRPr="00DA6962">
        <w:rPr>
          <w:rFonts w:ascii="Arial" w:hAnsi="Arial" w:cs="Arial"/>
          <w:i/>
          <w:sz w:val="20"/>
          <w:szCs w:val="20"/>
          <w:lang w:val="en-GB"/>
        </w:rPr>
        <w:t>d) Revenues accruing from their property and private law income.</w:t>
      </w:r>
    </w:p>
    <w:p w:rsidR="009A0D50" w:rsidRPr="00DA6962" w:rsidRDefault="000627DA" w:rsidP="00DA6962">
      <w:pPr>
        <w:spacing w:after="0" w:line="240" w:lineRule="auto"/>
        <w:jc w:val="both"/>
        <w:rPr>
          <w:rFonts w:ascii="Arial" w:hAnsi="Arial" w:cs="Arial"/>
          <w:sz w:val="20"/>
          <w:szCs w:val="20"/>
          <w:lang w:val="en-GB"/>
        </w:rPr>
      </w:pPr>
      <w:proofErr w:type="gramStart"/>
      <w:r w:rsidRPr="00DA6962">
        <w:rPr>
          <w:rFonts w:ascii="Arial" w:hAnsi="Arial" w:cs="Arial"/>
          <w:i/>
          <w:sz w:val="20"/>
          <w:szCs w:val="20"/>
          <w:lang w:val="en-GB"/>
        </w:rPr>
        <w:t>e) Interest from loan operations”</w:t>
      </w:r>
      <w:r w:rsidRPr="00DA6962">
        <w:rPr>
          <w:rFonts w:ascii="Arial" w:hAnsi="Arial" w:cs="Arial"/>
          <w:sz w:val="20"/>
          <w:szCs w:val="20"/>
          <w:lang w:val="en-GB"/>
        </w:rPr>
        <w:t>.</w:t>
      </w:r>
      <w:proofErr w:type="gramEnd"/>
    </w:p>
    <w:p w:rsidR="000627DA" w:rsidRPr="00DA6962" w:rsidRDefault="000627DA" w:rsidP="00DA6962">
      <w:pPr>
        <w:spacing w:after="0" w:line="240" w:lineRule="auto"/>
        <w:jc w:val="both"/>
        <w:rPr>
          <w:rFonts w:ascii="Arial" w:hAnsi="Arial" w:cs="Arial"/>
          <w:sz w:val="20"/>
          <w:szCs w:val="20"/>
          <w:lang w:val="en-GB"/>
        </w:rPr>
      </w:pPr>
    </w:p>
    <w:p w:rsidR="000B5DC6" w:rsidRPr="00DA6962" w:rsidRDefault="000B5DC6" w:rsidP="00DA6962">
      <w:pPr>
        <w:spacing w:after="0" w:line="240" w:lineRule="auto"/>
        <w:jc w:val="both"/>
        <w:rPr>
          <w:rFonts w:ascii="Arial" w:hAnsi="Arial" w:cs="Arial"/>
          <w:sz w:val="20"/>
          <w:szCs w:val="20"/>
          <w:lang w:val="en-GB"/>
        </w:rPr>
      </w:pPr>
      <w:r w:rsidRPr="00DA6962">
        <w:rPr>
          <w:rFonts w:ascii="Arial" w:hAnsi="Arial" w:cs="Arial"/>
          <w:sz w:val="20"/>
          <w:szCs w:val="20"/>
          <w:lang w:val="en-GB"/>
        </w:rPr>
        <w:t>The following article, no. 158, of the Spanish Constitution further details the concept of “inter-territorial” solidarity by noting that:</w:t>
      </w:r>
    </w:p>
    <w:p w:rsidR="00E22B64" w:rsidRPr="00DA6962" w:rsidRDefault="00E22B64" w:rsidP="00DA6962">
      <w:pPr>
        <w:spacing w:after="0" w:line="240" w:lineRule="auto"/>
        <w:jc w:val="both"/>
        <w:rPr>
          <w:rFonts w:ascii="Arial" w:hAnsi="Arial" w:cs="Arial"/>
          <w:sz w:val="20"/>
          <w:szCs w:val="20"/>
          <w:lang w:val="en-GB"/>
        </w:rPr>
      </w:pPr>
    </w:p>
    <w:p w:rsidR="000627DA" w:rsidRPr="00DA6962" w:rsidRDefault="00540544" w:rsidP="00DA6962">
      <w:pPr>
        <w:spacing w:after="0" w:line="240" w:lineRule="auto"/>
        <w:jc w:val="both"/>
        <w:rPr>
          <w:rFonts w:ascii="Arial" w:hAnsi="Arial" w:cs="Arial"/>
          <w:i/>
          <w:sz w:val="20"/>
          <w:szCs w:val="20"/>
          <w:lang w:val="en-GB"/>
        </w:rPr>
      </w:pPr>
      <w:r w:rsidRPr="00DA6962">
        <w:rPr>
          <w:rFonts w:ascii="Arial" w:hAnsi="Arial" w:cs="Arial"/>
          <w:i/>
          <w:sz w:val="20"/>
          <w:szCs w:val="20"/>
          <w:lang w:val="en-GB"/>
        </w:rPr>
        <w:t>“</w:t>
      </w:r>
      <w:r w:rsidR="000627DA" w:rsidRPr="00DA6962">
        <w:rPr>
          <w:rFonts w:ascii="Arial" w:hAnsi="Arial" w:cs="Arial"/>
          <w:i/>
          <w:sz w:val="20"/>
          <w:szCs w:val="20"/>
          <w:lang w:val="en-GB"/>
        </w:rPr>
        <w:t>1. An allocation may be made in the State</w:t>
      </w:r>
      <w:r w:rsidRPr="00DA6962">
        <w:rPr>
          <w:rFonts w:ascii="Arial" w:hAnsi="Arial" w:cs="Arial"/>
          <w:i/>
          <w:sz w:val="20"/>
          <w:szCs w:val="20"/>
          <w:lang w:val="en-GB"/>
        </w:rPr>
        <w:t xml:space="preserve"> </w:t>
      </w:r>
      <w:r w:rsidR="000627DA" w:rsidRPr="00DA6962">
        <w:rPr>
          <w:rFonts w:ascii="Arial" w:hAnsi="Arial" w:cs="Arial"/>
          <w:i/>
          <w:sz w:val="20"/>
          <w:szCs w:val="20"/>
          <w:lang w:val="en-GB"/>
        </w:rPr>
        <w:t>Budget to the Self-governing Communities in</w:t>
      </w:r>
      <w:r w:rsidRPr="00DA6962">
        <w:rPr>
          <w:rFonts w:ascii="Arial" w:hAnsi="Arial" w:cs="Arial"/>
          <w:i/>
          <w:sz w:val="20"/>
          <w:szCs w:val="20"/>
          <w:lang w:val="en-GB"/>
        </w:rPr>
        <w:t xml:space="preserve"> </w:t>
      </w:r>
      <w:r w:rsidR="000627DA" w:rsidRPr="00DA6962">
        <w:rPr>
          <w:rFonts w:ascii="Arial" w:hAnsi="Arial" w:cs="Arial"/>
          <w:i/>
          <w:sz w:val="20"/>
          <w:szCs w:val="20"/>
          <w:lang w:val="en-GB"/>
        </w:rPr>
        <w:t>proportion to the amount of State services and</w:t>
      </w:r>
      <w:r w:rsidRPr="00DA6962">
        <w:rPr>
          <w:rFonts w:ascii="Arial" w:hAnsi="Arial" w:cs="Arial"/>
          <w:i/>
          <w:sz w:val="20"/>
          <w:szCs w:val="20"/>
          <w:lang w:val="en-GB"/>
        </w:rPr>
        <w:t xml:space="preserve"> </w:t>
      </w:r>
      <w:r w:rsidR="000627DA" w:rsidRPr="00DA6962">
        <w:rPr>
          <w:rFonts w:ascii="Arial" w:hAnsi="Arial" w:cs="Arial"/>
          <w:i/>
          <w:sz w:val="20"/>
          <w:szCs w:val="20"/>
          <w:lang w:val="en-GB"/>
        </w:rPr>
        <w:t>activities for which they have assumed responsibility and to guarantee a minimum level</w:t>
      </w:r>
      <w:r w:rsidRPr="00DA6962">
        <w:rPr>
          <w:rFonts w:ascii="Arial" w:hAnsi="Arial" w:cs="Arial"/>
          <w:i/>
          <w:sz w:val="20"/>
          <w:szCs w:val="20"/>
          <w:lang w:val="en-GB"/>
        </w:rPr>
        <w:t xml:space="preserve"> </w:t>
      </w:r>
      <w:r w:rsidR="000627DA" w:rsidRPr="00DA6962">
        <w:rPr>
          <w:rFonts w:ascii="Arial" w:hAnsi="Arial" w:cs="Arial"/>
          <w:i/>
          <w:sz w:val="20"/>
          <w:szCs w:val="20"/>
          <w:lang w:val="en-GB"/>
        </w:rPr>
        <w:t>of basic public services throughout Spanish territory.</w:t>
      </w:r>
    </w:p>
    <w:p w:rsidR="000627DA" w:rsidRPr="00DA6962" w:rsidRDefault="000627DA" w:rsidP="00DA6962">
      <w:pPr>
        <w:spacing w:after="0" w:line="240" w:lineRule="auto"/>
        <w:jc w:val="both"/>
        <w:rPr>
          <w:rFonts w:ascii="Arial" w:hAnsi="Arial" w:cs="Arial"/>
          <w:i/>
          <w:sz w:val="20"/>
          <w:szCs w:val="20"/>
          <w:lang w:val="en-GB"/>
        </w:rPr>
      </w:pPr>
      <w:r w:rsidRPr="00DA6962">
        <w:rPr>
          <w:rFonts w:ascii="Arial" w:hAnsi="Arial" w:cs="Arial"/>
          <w:i/>
          <w:sz w:val="20"/>
          <w:szCs w:val="20"/>
          <w:lang w:val="en-GB"/>
        </w:rPr>
        <w:t>2. With the aim of redressing inter</w:t>
      </w:r>
      <w:r w:rsidR="009A736C">
        <w:rPr>
          <w:rFonts w:ascii="Arial" w:hAnsi="Arial" w:cs="Arial"/>
          <w:i/>
          <w:sz w:val="20"/>
          <w:szCs w:val="20"/>
          <w:lang w:val="en-GB"/>
        </w:rPr>
        <w:t>-</w:t>
      </w:r>
      <w:r w:rsidRPr="00DA6962">
        <w:rPr>
          <w:rFonts w:ascii="Arial" w:hAnsi="Arial" w:cs="Arial"/>
          <w:i/>
          <w:sz w:val="20"/>
          <w:szCs w:val="20"/>
          <w:lang w:val="en-GB"/>
        </w:rPr>
        <w:t>territorial</w:t>
      </w:r>
      <w:r w:rsidR="00540544" w:rsidRPr="00DA6962">
        <w:rPr>
          <w:rFonts w:ascii="Arial" w:hAnsi="Arial" w:cs="Arial"/>
          <w:i/>
          <w:sz w:val="20"/>
          <w:szCs w:val="20"/>
          <w:lang w:val="en-GB"/>
        </w:rPr>
        <w:t xml:space="preserve"> </w:t>
      </w:r>
      <w:r w:rsidRPr="00DA6962">
        <w:rPr>
          <w:rFonts w:ascii="Arial" w:hAnsi="Arial" w:cs="Arial"/>
          <w:i/>
          <w:sz w:val="20"/>
          <w:szCs w:val="20"/>
          <w:lang w:val="en-GB"/>
        </w:rPr>
        <w:t>economic imbalances and implementing the</w:t>
      </w:r>
      <w:r w:rsidR="00540544" w:rsidRPr="00DA6962">
        <w:rPr>
          <w:rFonts w:ascii="Arial" w:hAnsi="Arial" w:cs="Arial"/>
          <w:i/>
          <w:sz w:val="20"/>
          <w:szCs w:val="20"/>
          <w:lang w:val="en-GB"/>
        </w:rPr>
        <w:t xml:space="preserve"> </w:t>
      </w:r>
      <w:r w:rsidRPr="00DA6962">
        <w:rPr>
          <w:rFonts w:ascii="Arial" w:hAnsi="Arial" w:cs="Arial"/>
          <w:i/>
          <w:sz w:val="20"/>
          <w:szCs w:val="20"/>
          <w:lang w:val="en-GB"/>
        </w:rPr>
        <w:t>principle of solidarity, a compensation fund shall</w:t>
      </w:r>
      <w:r w:rsidR="00540544" w:rsidRPr="00DA6962">
        <w:rPr>
          <w:rFonts w:ascii="Arial" w:hAnsi="Arial" w:cs="Arial"/>
          <w:i/>
          <w:sz w:val="20"/>
          <w:szCs w:val="20"/>
          <w:lang w:val="en-GB"/>
        </w:rPr>
        <w:t xml:space="preserve"> </w:t>
      </w:r>
      <w:r w:rsidRPr="00DA6962">
        <w:rPr>
          <w:rFonts w:ascii="Arial" w:hAnsi="Arial" w:cs="Arial"/>
          <w:i/>
          <w:sz w:val="20"/>
          <w:szCs w:val="20"/>
          <w:lang w:val="en-GB"/>
        </w:rPr>
        <w:t xml:space="preserve">be set up for investment expenditure, the resources of which shall be distributed by the </w:t>
      </w:r>
      <w:r w:rsidRPr="009A736C">
        <w:rPr>
          <w:rFonts w:ascii="Arial" w:hAnsi="Arial" w:cs="Arial"/>
          <w:sz w:val="20"/>
          <w:szCs w:val="20"/>
          <w:lang w:val="en-GB"/>
        </w:rPr>
        <w:t xml:space="preserve">Cortes </w:t>
      </w:r>
      <w:proofErr w:type="spellStart"/>
      <w:r w:rsidRPr="009A736C">
        <w:rPr>
          <w:rFonts w:ascii="Arial" w:hAnsi="Arial" w:cs="Arial"/>
          <w:sz w:val="20"/>
          <w:szCs w:val="20"/>
          <w:lang w:val="en-GB"/>
        </w:rPr>
        <w:t>Generales</w:t>
      </w:r>
      <w:proofErr w:type="spellEnd"/>
      <w:r w:rsidRPr="00DA6962">
        <w:rPr>
          <w:rFonts w:ascii="Arial" w:hAnsi="Arial" w:cs="Arial"/>
          <w:i/>
          <w:sz w:val="20"/>
          <w:szCs w:val="20"/>
          <w:lang w:val="en-GB"/>
        </w:rPr>
        <w:t xml:space="preserve"> </w:t>
      </w:r>
      <w:r w:rsidR="009A736C">
        <w:rPr>
          <w:rFonts w:ascii="Arial" w:hAnsi="Arial" w:cs="Arial"/>
          <w:sz w:val="20"/>
          <w:szCs w:val="20"/>
          <w:lang w:val="en-GB"/>
        </w:rPr>
        <w:t xml:space="preserve">(Parliament) </w:t>
      </w:r>
      <w:r w:rsidRPr="00DA6962">
        <w:rPr>
          <w:rFonts w:ascii="Arial" w:hAnsi="Arial" w:cs="Arial"/>
          <w:i/>
          <w:sz w:val="20"/>
          <w:szCs w:val="20"/>
          <w:lang w:val="en-GB"/>
        </w:rPr>
        <w:t>among the Self-governing Communities and provinces, as the case may be</w:t>
      </w:r>
      <w:r w:rsidR="00540544" w:rsidRPr="00DA6962">
        <w:rPr>
          <w:rFonts w:ascii="Arial" w:hAnsi="Arial" w:cs="Arial"/>
          <w:i/>
          <w:sz w:val="20"/>
          <w:szCs w:val="20"/>
          <w:lang w:val="en-GB"/>
        </w:rPr>
        <w:t>”.</w:t>
      </w:r>
    </w:p>
    <w:p w:rsidR="000627DA" w:rsidRPr="00DA6962" w:rsidRDefault="000627DA" w:rsidP="00DA6962">
      <w:pPr>
        <w:spacing w:after="0" w:line="240" w:lineRule="auto"/>
        <w:rPr>
          <w:rFonts w:ascii="Arial" w:hAnsi="Arial" w:cs="Arial"/>
          <w:sz w:val="20"/>
          <w:szCs w:val="20"/>
          <w:lang w:val="en-GB"/>
        </w:rPr>
      </w:pPr>
    </w:p>
    <w:p w:rsidR="00CC5862" w:rsidRPr="00DA6962" w:rsidRDefault="00CC5862" w:rsidP="00DA6962">
      <w:pPr>
        <w:spacing w:after="0" w:line="240" w:lineRule="auto"/>
        <w:jc w:val="both"/>
        <w:rPr>
          <w:rFonts w:ascii="Arial" w:hAnsi="Arial" w:cs="Arial"/>
          <w:sz w:val="20"/>
          <w:szCs w:val="20"/>
          <w:lang w:val="en-GB"/>
        </w:rPr>
      </w:pPr>
      <w:r w:rsidRPr="00DA6962">
        <w:rPr>
          <w:rFonts w:ascii="Arial" w:hAnsi="Arial" w:cs="Arial"/>
          <w:sz w:val="20"/>
          <w:szCs w:val="20"/>
          <w:lang w:val="en-GB"/>
        </w:rPr>
        <w:t>In order to comply with the institutional mandate, the 8/1980 Law was adopted, regarding the financing of the ACs. The law regulates the fundamental frame of the autonomic financing. As expected, this system has suffered various reforms throughout the course of time to comply with the greater role of the ACs regarding their expense competences.</w:t>
      </w:r>
    </w:p>
    <w:p w:rsidR="000E1010" w:rsidRPr="00DA6962" w:rsidRDefault="000E1010" w:rsidP="00DA6962">
      <w:pPr>
        <w:spacing w:after="0" w:line="240" w:lineRule="auto"/>
        <w:rPr>
          <w:rFonts w:ascii="Arial" w:hAnsi="Arial" w:cs="Arial"/>
          <w:sz w:val="20"/>
          <w:szCs w:val="20"/>
          <w:lang w:val="en-GB"/>
        </w:rPr>
      </w:pPr>
    </w:p>
    <w:p w:rsidR="00686F4F" w:rsidRPr="00DA6962" w:rsidRDefault="00686F4F" w:rsidP="00DA6962">
      <w:pPr>
        <w:spacing w:after="0" w:line="240" w:lineRule="auto"/>
        <w:jc w:val="both"/>
        <w:rPr>
          <w:rFonts w:ascii="Arial" w:hAnsi="Arial" w:cs="Arial"/>
          <w:sz w:val="20"/>
          <w:szCs w:val="20"/>
          <w:lang w:val="en-GB"/>
        </w:rPr>
      </w:pPr>
      <w:r w:rsidRPr="00DA6962">
        <w:rPr>
          <w:rFonts w:ascii="Arial" w:hAnsi="Arial" w:cs="Arial"/>
          <w:sz w:val="20"/>
          <w:szCs w:val="20"/>
          <w:lang w:val="en-GB"/>
        </w:rPr>
        <w:t xml:space="preserve">Indeed, there was a progressive transfer of competences from the </w:t>
      </w:r>
      <w:r w:rsidR="00235CDC" w:rsidRPr="00DA6962">
        <w:rPr>
          <w:rFonts w:ascii="Arial" w:hAnsi="Arial" w:cs="Arial"/>
          <w:sz w:val="20"/>
          <w:szCs w:val="20"/>
          <w:lang w:val="en-GB"/>
        </w:rPr>
        <w:t>S</w:t>
      </w:r>
      <w:r w:rsidRPr="00DA6962">
        <w:rPr>
          <w:rFonts w:ascii="Arial" w:hAnsi="Arial" w:cs="Arial"/>
          <w:sz w:val="20"/>
          <w:szCs w:val="20"/>
          <w:lang w:val="en-GB"/>
        </w:rPr>
        <w:t xml:space="preserve">tate to the AC done at different paces depending on the AC. The </w:t>
      </w:r>
      <w:r w:rsidR="00235CDC" w:rsidRPr="00DA6962">
        <w:rPr>
          <w:rFonts w:ascii="Arial" w:hAnsi="Arial" w:cs="Arial"/>
          <w:sz w:val="20"/>
          <w:szCs w:val="20"/>
          <w:lang w:val="en-GB"/>
        </w:rPr>
        <w:t>S</w:t>
      </w:r>
      <w:r w:rsidRPr="00DA6962">
        <w:rPr>
          <w:rFonts w:ascii="Arial" w:hAnsi="Arial" w:cs="Arial"/>
          <w:sz w:val="20"/>
          <w:szCs w:val="20"/>
          <w:lang w:val="en-GB"/>
        </w:rPr>
        <w:t xml:space="preserve">tate also estimates the amount of resources each community should receive according to the competences they manage and by using the effective cost of the services in the moment of the transfer as a basic element for the assessment of the amount. The financing of these services is initially done by ceding certain taxes and by transferring a general grant known as “participation in the general revenues of the </w:t>
      </w:r>
      <w:r w:rsidR="00235CDC" w:rsidRPr="00DA6962">
        <w:rPr>
          <w:rFonts w:ascii="Arial" w:hAnsi="Arial" w:cs="Arial"/>
          <w:sz w:val="20"/>
          <w:szCs w:val="20"/>
          <w:lang w:val="en-GB"/>
        </w:rPr>
        <w:t>S</w:t>
      </w:r>
      <w:r w:rsidRPr="00DA6962">
        <w:rPr>
          <w:rFonts w:ascii="Arial" w:hAnsi="Arial" w:cs="Arial"/>
          <w:sz w:val="20"/>
          <w:szCs w:val="20"/>
          <w:lang w:val="en-GB"/>
        </w:rPr>
        <w:t xml:space="preserve">tate”. The ceded taxes in this first stage are mainly related to wealth (basically, Annual Net Wealth Tax, Inheritance and Gift Tax, and Capital Transfer Tax and Stamp Duty), which therefore are not very significant from a revenue perspective. ACs </w:t>
      </w:r>
      <w:proofErr w:type="gramStart"/>
      <w:r w:rsidRPr="00DA6962">
        <w:rPr>
          <w:rFonts w:ascii="Arial" w:hAnsi="Arial" w:cs="Arial"/>
          <w:sz w:val="20"/>
          <w:szCs w:val="20"/>
          <w:lang w:val="en-GB"/>
        </w:rPr>
        <w:t>are</w:t>
      </w:r>
      <w:proofErr w:type="gramEnd"/>
      <w:r w:rsidRPr="00DA6962">
        <w:rPr>
          <w:rFonts w:ascii="Arial" w:hAnsi="Arial" w:cs="Arial"/>
          <w:sz w:val="20"/>
          <w:szCs w:val="20"/>
          <w:lang w:val="en-GB"/>
        </w:rPr>
        <w:t xml:space="preserve"> responsible for their administration, but they cannot introduce legal changes to them.</w:t>
      </w:r>
    </w:p>
    <w:p w:rsidR="00686F4F" w:rsidRPr="00DA6962" w:rsidRDefault="00686F4F" w:rsidP="00DA6962">
      <w:pPr>
        <w:spacing w:after="0" w:line="240" w:lineRule="auto"/>
        <w:jc w:val="both"/>
        <w:rPr>
          <w:rFonts w:ascii="Arial" w:hAnsi="Arial" w:cs="Arial"/>
          <w:sz w:val="20"/>
          <w:szCs w:val="20"/>
          <w:lang w:val="en-GB"/>
        </w:rPr>
      </w:pPr>
    </w:p>
    <w:p w:rsidR="00686F4F" w:rsidRPr="00DA6962" w:rsidRDefault="00686F4F" w:rsidP="00DA6962">
      <w:pPr>
        <w:spacing w:after="0" w:line="240" w:lineRule="auto"/>
        <w:jc w:val="both"/>
        <w:rPr>
          <w:rFonts w:ascii="Arial" w:hAnsi="Arial" w:cs="Arial"/>
          <w:sz w:val="20"/>
          <w:szCs w:val="20"/>
          <w:lang w:val="en-US"/>
        </w:rPr>
      </w:pPr>
      <w:r w:rsidRPr="00DA6962">
        <w:rPr>
          <w:rFonts w:ascii="Arial" w:hAnsi="Arial" w:cs="Arial"/>
          <w:sz w:val="20"/>
          <w:szCs w:val="20"/>
          <w:lang w:val="en-GB"/>
        </w:rPr>
        <w:t xml:space="preserve">ACs can also levy their own taxes and fees, although they cannot levy any taxable event already taxed by the </w:t>
      </w:r>
      <w:r w:rsidR="00235CDC" w:rsidRPr="00DA6962">
        <w:rPr>
          <w:rFonts w:ascii="Arial" w:hAnsi="Arial" w:cs="Arial"/>
          <w:sz w:val="20"/>
          <w:szCs w:val="20"/>
          <w:lang w:val="en-GB"/>
        </w:rPr>
        <w:t>S</w:t>
      </w:r>
      <w:r w:rsidRPr="00DA6962">
        <w:rPr>
          <w:rFonts w:ascii="Arial" w:hAnsi="Arial" w:cs="Arial"/>
          <w:sz w:val="20"/>
          <w:szCs w:val="20"/>
          <w:lang w:val="en-GB"/>
        </w:rPr>
        <w:t xml:space="preserve">tate or municipalities, which in fact means they can only implement minor taxes as most important events are already taxed. </w:t>
      </w:r>
      <w:r w:rsidR="00F908ED" w:rsidRPr="00DA6962">
        <w:rPr>
          <w:rFonts w:ascii="Arial" w:hAnsi="Arial" w:cs="Arial"/>
          <w:sz w:val="20"/>
          <w:szCs w:val="20"/>
          <w:lang w:val="en-GB"/>
        </w:rPr>
        <w:t>Furthermore, ACs may under no circumstances introduce measures to raise taxes on property located outside their territory or likely to hinder the free movement of goods or services.</w:t>
      </w:r>
    </w:p>
    <w:p w:rsidR="00686F4F" w:rsidRPr="00DA6962" w:rsidRDefault="00686F4F" w:rsidP="00DA6962">
      <w:pPr>
        <w:spacing w:after="0" w:line="240" w:lineRule="auto"/>
        <w:jc w:val="both"/>
        <w:rPr>
          <w:rFonts w:ascii="Arial" w:hAnsi="Arial" w:cs="Arial"/>
          <w:sz w:val="20"/>
          <w:szCs w:val="20"/>
          <w:lang w:val="en-GB"/>
        </w:rPr>
      </w:pPr>
    </w:p>
    <w:p w:rsidR="00686F4F" w:rsidRPr="00DA6962" w:rsidRDefault="00686F4F" w:rsidP="00DA6962">
      <w:pPr>
        <w:spacing w:after="0" w:line="240" w:lineRule="auto"/>
        <w:jc w:val="both"/>
        <w:rPr>
          <w:rFonts w:ascii="Arial" w:hAnsi="Arial" w:cs="Arial"/>
          <w:sz w:val="20"/>
          <w:szCs w:val="20"/>
          <w:lang w:val="en-GB"/>
        </w:rPr>
      </w:pPr>
      <w:r w:rsidRPr="00DA6962">
        <w:rPr>
          <w:rFonts w:ascii="Arial" w:hAnsi="Arial" w:cs="Arial"/>
          <w:sz w:val="20"/>
          <w:szCs w:val="20"/>
          <w:lang w:val="en-GB"/>
        </w:rPr>
        <w:t xml:space="preserve">Consequently, the main revenue source of the ACs, in this first stage, will be the amount of grants received. The grants will be specific whenever they correspond to certain expenses or general whenever their scope is the financing of the totality of expenses of a community, and is calculate as a percentage of the total taxes of the </w:t>
      </w:r>
      <w:r w:rsidR="00235CDC" w:rsidRPr="00DA6962">
        <w:rPr>
          <w:rFonts w:ascii="Arial" w:hAnsi="Arial" w:cs="Arial"/>
          <w:sz w:val="20"/>
          <w:szCs w:val="20"/>
          <w:lang w:val="en-GB"/>
        </w:rPr>
        <w:t>S</w:t>
      </w:r>
      <w:r w:rsidRPr="00DA6962">
        <w:rPr>
          <w:rFonts w:ascii="Arial" w:hAnsi="Arial" w:cs="Arial"/>
          <w:sz w:val="20"/>
          <w:szCs w:val="20"/>
          <w:lang w:val="en-GB"/>
        </w:rPr>
        <w:t>tate.</w:t>
      </w:r>
    </w:p>
    <w:p w:rsidR="00540544" w:rsidRPr="00DA6962" w:rsidRDefault="00540544" w:rsidP="00DA6962">
      <w:pPr>
        <w:spacing w:after="0" w:line="240" w:lineRule="auto"/>
        <w:rPr>
          <w:rFonts w:ascii="Arial" w:hAnsi="Arial" w:cs="Arial"/>
          <w:sz w:val="20"/>
          <w:szCs w:val="20"/>
          <w:lang w:val="en-GB"/>
        </w:rPr>
      </w:pPr>
    </w:p>
    <w:p w:rsidR="00686F4F" w:rsidRPr="00DA6962" w:rsidRDefault="00686F4F" w:rsidP="00DA6962">
      <w:pPr>
        <w:spacing w:after="0" w:line="240" w:lineRule="auto"/>
        <w:jc w:val="both"/>
        <w:rPr>
          <w:rFonts w:ascii="Arial" w:hAnsi="Arial" w:cs="Arial"/>
          <w:b/>
          <w:sz w:val="20"/>
          <w:szCs w:val="20"/>
          <w:lang w:val="en-GB"/>
        </w:rPr>
      </w:pPr>
      <w:r w:rsidRPr="00DA6962">
        <w:rPr>
          <w:rFonts w:ascii="Arial" w:hAnsi="Arial" w:cs="Arial"/>
          <w:b/>
          <w:sz w:val="20"/>
          <w:szCs w:val="20"/>
          <w:lang w:val="en-GB"/>
        </w:rPr>
        <w:t>Evolution</w:t>
      </w:r>
    </w:p>
    <w:p w:rsidR="00E841A6" w:rsidRPr="00DA6962" w:rsidRDefault="00E841A6" w:rsidP="00DA6962">
      <w:pPr>
        <w:spacing w:after="0" w:line="240" w:lineRule="auto"/>
        <w:rPr>
          <w:rFonts w:ascii="Arial" w:hAnsi="Arial" w:cs="Arial"/>
          <w:sz w:val="20"/>
          <w:szCs w:val="20"/>
          <w:lang w:val="en-GB"/>
        </w:rPr>
      </w:pPr>
    </w:p>
    <w:p w:rsidR="00C1514B" w:rsidRPr="00DA6962" w:rsidRDefault="00C1514B" w:rsidP="00DA6962">
      <w:pPr>
        <w:spacing w:after="0" w:line="240" w:lineRule="auto"/>
        <w:jc w:val="both"/>
        <w:rPr>
          <w:rFonts w:ascii="Arial" w:hAnsi="Arial" w:cs="Arial"/>
          <w:sz w:val="20"/>
          <w:szCs w:val="20"/>
          <w:lang w:val="en-GB"/>
        </w:rPr>
      </w:pPr>
      <w:r w:rsidRPr="00DA6962">
        <w:rPr>
          <w:rFonts w:ascii="Arial" w:hAnsi="Arial" w:cs="Arial"/>
          <w:sz w:val="20"/>
          <w:szCs w:val="20"/>
          <w:lang w:val="en-GB"/>
        </w:rPr>
        <w:t xml:space="preserve">The 8/1980 Law which regulated the financing system of the ACs under the common regime, established that a revision of the model shall take place every 5 years, with the objective of allowing it to adapt to a changing reality, especially in what regards the increasing role of the ACs in the expenses policies. This is why we can observe a new financing system for the years 1981-1986, 1987-1991, 1992-1996 </w:t>
      </w:r>
      <w:r w:rsidR="009A736C">
        <w:rPr>
          <w:rFonts w:ascii="Arial" w:hAnsi="Arial" w:cs="Arial"/>
          <w:sz w:val="20"/>
          <w:szCs w:val="20"/>
          <w:lang w:val="en-GB"/>
        </w:rPr>
        <w:t>and</w:t>
      </w:r>
      <w:r w:rsidRPr="00DA6962">
        <w:rPr>
          <w:rFonts w:ascii="Arial" w:hAnsi="Arial" w:cs="Arial"/>
          <w:sz w:val="20"/>
          <w:szCs w:val="20"/>
          <w:lang w:val="en-GB"/>
        </w:rPr>
        <w:t xml:space="preserve"> 1997-2001. In 2002, a definitive financing system was established in order to give the Spanish autonomic system a final form. Nonetheless, the always-changing Spanish reality of the following years, has forced the implementation of a new system in 2009 and the reintroduction of the five year revision clause. </w:t>
      </w:r>
    </w:p>
    <w:p w:rsidR="00576006" w:rsidRPr="00DA6962" w:rsidRDefault="00576006" w:rsidP="00DA6962">
      <w:pPr>
        <w:spacing w:after="0" w:line="240" w:lineRule="auto"/>
        <w:rPr>
          <w:rFonts w:ascii="Arial" w:hAnsi="Arial" w:cs="Arial"/>
          <w:sz w:val="20"/>
          <w:szCs w:val="20"/>
          <w:lang w:val="en-GB"/>
        </w:rPr>
      </w:pPr>
    </w:p>
    <w:p w:rsidR="00711623" w:rsidRPr="00DA6962" w:rsidRDefault="00711623" w:rsidP="00DA6962">
      <w:pPr>
        <w:spacing w:after="0" w:line="240" w:lineRule="auto"/>
        <w:jc w:val="both"/>
        <w:rPr>
          <w:rFonts w:ascii="Arial" w:hAnsi="Arial" w:cs="Arial"/>
          <w:sz w:val="20"/>
          <w:szCs w:val="20"/>
          <w:lang w:val="en-GB"/>
        </w:rPr>
      </w:pPr>
      <w:r w:rsidRPr="00DA6962">
        <w:rPr>
          <w:rFonts w:ascii="Arial" w:hAnsi="Arial" w:cs="Arial"/>
          <w:sz w:val="20"/>
          <w:szCs w:val="20"/>
          <w:lang w:val="en-GB"/>
        </w:rPr>
        <w:t xml:space="preserve">The reforms are established in the frame of the Fiscal and Financial Policy Council, institution created by the 8/1980 Law in which both the State and all ACs under the common regime participate and whose main goal is to assure the coordination between the ACs and the State for public finance matters. Nonetheless, before reaching formal agreements within the council, </w:t>
      </w:r>
      <w:r w:rsidR="00F908ED" w:rsidRPr="00DA6962">
        <w:rPr>
          <w:rFonts w:ascii="Arial" w:hAnsi="Arial" w:cs="Arial"/>
          <w:sz w:val="20"/>
          <w:szCs w:val="20"/>
          <w:lang w:val="en-GB"/>
        </w:rPr>
        <w:t xml:space="preserve">in practice </w:t>
      </w:r>
      <w:r w:rsidRPr="00DA6962">
        <w:rPr>
          <w:rFonts w:ascii="Arial" w:hAnsi="Arial" w:cs="Arial"/>
          <w:sz w:val="20"/>
          <w:szCs w:val="20"/>
          <w:lang w:val="en-GB"/>
        </w:rPr>
        <w:t xml:space="preserve">there may be bilateral meetings and pacts between the State and different ACs, agreements which looked for the best interest of each AC. Moreover, </w:t>
      </w:r>
      <w:r w:rsidR="00F908ED" w:rsidRPr="00DA6962">
        <w:rPr>
          <w:rFonts w:ascii="Arial" w:hAnsi="Arial" w:cs="Arial"/>
          <w:sz w:val="20"/>
          <w:szCs w:val="20"/>
          <w:lang w:val="en-GB"/>
        </w:rPr>
        <w:t>in fact</w:t>
      </w:r>
      <w:r w:rsidRPr="00DA6962">
        <w:rPr>
          <w:rFonts w:ascii="Arial" w:hAnsi="Arial" w:cs="Arial"/>
          <w:sz w:val="20"/>
          <w:szCs w:val="20"/>
          <w:lang w:val="en-GB"/>
        </w:rPr>
        <w:t xml:space="preserve">, Catalonia has been the leader of the negotiation process and has had a great influence on the directives and main points of the financing systems that should be subject to change. For example, the percentages of ceded </w:t>
      </w:r>
      <w:r w:rsidR="00CA5DA5" w:rsidRPr="00DA6962">
        <w:rPr>
          <w:rFonts w:ascii="Arial" w:hAnsi="Arial" w:cs="Arial"/>
          <w:sz w:val="20"/>
          <w:szCs w:val="20"/>
          <w:lang w:val="en-GB"/>
        </w:rPr>
        <w:t xml:space="preserve">taxes </w:t>
      </w:r>
      <w:r w:rsidRPr="00DA6962">
        <w:rPr>
          <w:rFonts w:ascii="Arial" w:hAnsi="Arial" w:cs="Arial"/>
          <w:sz w:val="20"/>
          <w:szCs w:val="20"/>
          <w:lang w:val="en-GB"/>
        </w:rPr>
        <w:t xml:space="preserve">to the ACs of the current system, which will be discussed in greater detail later, were initially established in the new Statute of Autonomy of Catalonia, and later generally applied in the agreement regarding the new financing system. </w:t>
      </w:r>
    </w:p>
    <w:p w:rsidR="00E841A6" w:rsidRPr="00DA6962" w:rsidRDefault="00E841A6" w:rsidP="00DA6962">
      <w:pPr>
        <w:spacing w:after="0" w:line="240" w:lineRule="auto"/>
        <w:rPr>
          <w:rFonts w:ascii="Arial" w:hAnsi="Arial" w:cs="Arial"/>
          <w:sz w:val="20"/>
          <w:szCs w:val="20"/>
          <w:lang w:val="en-GB"/>
        </w:rPr>
      </w:pPr>
    </w:p>
    <w:p w:rsidR="00C1514B" w:rsidRPr="00DA6962" w:rsidRDefault="00C1514B" w:rsidP="00DA6962">
      <w:pPr>
        <w:spacing w:after="0" w:line="240" w:lineRule="auto"/>
        <w:jc w:val="both"/>
        <w:rPr>
          <w:rFonts w:ascii="Arial" w:hAnsi="Arial" w:cs="Arial"/>
          <w:sz w:val="20"/>
          <w:szCs w:val="20"/>
          <w:lang w:val="en-GB"/>
        </w:rPr>
      </w:pPr>
      <w:r w:rsidRPr="00DA6962">
        <w:rPr>
          <w:rFonts w:ascii="Arial" w:hAnsi="Arial" w:cs="Arial"/>
          <w:sz w:val="20"/>
          <w:szCs w:val="20"/>
          <w:lang w:val="en-GB"/>
        </w:rPr>
        <w:t>Two elements of the different reforms introduced are of crucial relevance and of practical use for the autonomy of the Sahara.</w:t>
      </w:r>
    </w:p>
    <w:p w:rsidR="00C1514B" w:rsidRPr="00DA6962" w:rsidRDefault="00C1514B" w:rsidP="00DA6962">
      <w:pPr>
        <w:spacing w:after="0" w:line="240" w:lineRule="auto"/>
        <w:jc w:val="both"/>
        <w:rPr>
          <w:rFonts w:ascii="Arial" w:hAnsi="Arial" w:cs="Arial"/>
          <w:sz w:val="20"/>
          <w:szCs w:val="20"/>
          <w:lang w:val="en-GB"/>
        </w:rPr>
      </w:pPr>
    </w:p>
    <w:p w:rsidR="00C1514B" w:rsidRPr="00DA6962" w:rsidRDefault="00C1514B" w:rsidP="00DA6962">
      <w:pPr>
        <w:pStyle w:val="ListParagraph"/>
        <w:numPr>
          <w:ilvl w:val="0"/>
          <w:numId w:val="10"/>
        </w:numPr>
        <w:spacing w:after="0" w:line="240" w:lineRule="auto"/>
        <w:jc w:val="both"/>
        <w:rPr>
          <w:rFonts w:ascii="Arial" w:hAnsi="Arial" w:cs="Arial"/>
          <w:sz w:val="20"/>
          <w:szCs w:val="20"/>
          <w:lang w:val="en-GB"/>
        </w:rPr>
      </w:pPr>
      <w:r w:rsidRPr="00DA6962">
        <w:rPr>
          <w:rFonts w:ascii="Arial" w:hAnsi="Arial" w:cs="Arial"/>
          <w:sz w:val="20"/>
          <w:szCs w:val="20"/>
          <w:lang w:val="en-GB"/>
        </w:rPr>
        <w:t xml:space="preserve">In Spain, the development of the financing systems of the ACs has seen a rapid increase in regards to the expenses assumed by the ACs, while the revenues have been modified at a very different pace. This fact generates a high dependency of the ACs on the grants received by the </w:t>
      </w:r>
      <w:r w:rsidR="00235CDC" w:rsidRPr="00DA6962">
        <w:rPr>
          <w:rFonts w:ascii="Arial" w:hAnsi="Arial" w:cs="Arial"/>
          <w:sz w:val="20"/>
          <w:szCs w:val="20"/>
          <w:lang w:val="en-GB"/>
        </w:rPr>
        <w:t>S</w:t>
      </w:r>
      <w:r w:rsidRPr="00DA6962">
        <w:rPr>
          <w:rFonts w:ascii="Arial" w:hAnsi="Arial" w:cs="Arial"/>
          <w:sz w:val="20"/>
          <w:szCs w:val="20"/>
          <w:lang w:val="en-GB"/>
        </w:rPr>
        <w:t>tate, as they represent the main financing sources of their expenses. Therefore, there is an absence of equilibrium in what concerns fiscal responsibility. The recurring reforms, especially those applied in 1997 and 2002, have tried to increase the percentage of ceded taxes and the tax power of the ACs, as well as reducing the relative importance of the grants. The partial cession of the personal income tax represents a very relevant change given the high importance of this tax.</w:t>
      </w:r>
    </w:p>
    <w:p w:rsidR="00C1514B" w:rsidRPr="00DA6962" w:rsidRDefault="00C1514B" w:rsidP="00DA6962">
      <w:pPr>
        <w:pStyle w:val="ListParagraph"/>
        <w:spacing w:after="0" w:line="240" w:lineRule="auto"/>
        <w:jc w:val="both"/>
        <w:rPr>
          <w:rFonts w:ascii="Arial" w:hAnsi="Arial" w:cs="Arial"/>
          <w:sz w:val="20"/>
          <w:szCs w:val="20"/>
          <w:lang w:val="en-GB"/>
        </w:rPr>
      </w:pPr>
    </w:p>
    <w:p w:rsidR="00C1514B" w:rsidRPr="00DA6962" w:rsidRDefault="00C1514B" w:rsidP="00DA6962">
      <w:pPr>
        <w:pStyle w:val="ListParagraph"/>
        <w:numPr>
          <w:ilvl w:val="0"/>
          <w:numId w:val="10"/>
        </w:numPr>
        <w:spacing w:after="0" w:line="240" w:lineRule="auto"/>
        <w:jc w:val="both"/>
        <w:rPr>
          <w:rFonts w:ascii="Arial" w:hAnsi="Arial" w:cs="Arial"/>
          <w:sz w:val="20"/>
          <w:szCs w:val="20"/>
          <w:lang w:val="en-GB"/>
        </w:rPr>
      </w:pPr>
      <w:r w:rsidRPr="00DA6962">
        <w:rPr>
          <w:rFonts w:ascii="Arial" w:hAnsi="Arial" w:cs="Arial"/>
          <w:sz w:val="20"/>
          <w:szCs w:val="20"/>
          <w:lang w:val="en-GB"/>
        </w:rPr>
        <w:t xml:space="preserve">The final results of the financing system, that is, the amount of resources per capita that each AC receives in order to finance its competences, </w:t>
      </w:r>
      <w:r w:rsidR="00CA5DA5" w:rsidRPr="00DA6962">
        <w:rPr>
          <w:rFonts w:ascii="Arial" w:hAnsi="Arial" w:cs="Arial"/>
          <w:sz w:val="20"/>
          <w:szCs w:val="20"/>
          <w:lang w:val="en-GB"/>
        </w:rPr>
        <w:t>offer</w:t>
      </w:r>
      <w:r w:rsidRPr="00DA6962">
        <w:rPr>
          <w:rFonts w:ascii="Arial" w:hAnsi="Arial" w:cs="Arial"/>
          <w:sz w:val="20"/>
          <w:szCs w:val="20"/>
          <w:lang w:val="en-GB"/>
        </w:rPr>
        <w:t xml:space="preserve"> outcomes difficult to understand as a consequence of the lack of equity criteria. There is no explicit criterion or a concrete objective in regards with equity due to the fact that the equali</w:t>
      </w:r>
      <w:r w:rsidR="00D16E7D" w:rsidRPr="00DA6962">
        <w:rPr>
          <w:rFonts w:ascii="Arial" w:hAnsi="Arial" w:cs="Arial"/>
          <w:sz w:val="20"/>
          <w:szCs w:val="20"/>
          <w:lang w:val="en-GB"/>
        </w:rPr>
        <w:t>s</w:t>
      </w:r>
      <w:r w:rsidRPr="00DA6962">
        <w:rPr>
          <w:rFonts w:ascii="Arial" w:hAnsi="Arial" w:cs="Arial"/>
          <w:sz w:val="20"/>
          <w:szCs w:val="20"/>
          <w:lang w:val="en-GB"/>
        </w:rPr>
        <w:t xml:space="preserve">ation grants are calculated bases on hypothetical expenditure needs that are highly depended on the starting point, the so called “status quo”. The recurring reforms have always respected the status quo and the fact that no community could lose as a consequence of the new financing system. This fact will be further explained, as I continue to </w:t>
      </w:r>
      <w:r w:rsidR="0055440C" w:rsidRPr="00DA6962">
        <w:rPr>
          <w:rFonts w:ascii="Arial" w:hAnsi="Arial" w:cs="Arial"/>
          <w:sz w:val="20"/>
          <w:szCs w:val="20"/>
          <w:lang w:val="en-GB"/>
        </w:rPr>
        <w:t>analyse</w:t>
      </w:r>
      <w:r w:rsidRPr="00DA6962">
        <w:rPr>
          <w:rFonts w:ascii="Arial" w:hAnsi="Arial" w:cs="Arial"/>
          <w:sz w:val="20"/>
          <w:szCs w:val="20"/>
          <w:lang w:val="en-GB"/>
        </w:rPr>
        <w:t xml:space="preserve"> more deeply the current system.</w:t>
      </w:r>
    </w:p>
    <w:p w:rsidR="00827919" w:rsidRPr="00DA6962" w:rsidRDefault="00827919" w:rsidP="00DA6962">
      <w:pPr>
        <w:spacing w:after="0" w:line="240" w:lineRule="auto"/>
        <w:rPr>
          <w:rFonts w:ascii="Arial" w:hAnsi="Arial" w:cs="Arial"/>
          <w:sz w:val="20"/>
          <w:szCs w:val="20"/>
          <w:lang w:val="en-GB"/>
        </w:rPr>
      </w:pPr>
    </w:p>
    <w:p w:rsidR="00C1514B" w:rsidRPr="00DA6962" w:rsidRDefault="00C1514B" w:rsidP="00DA6962">
      <w:pPr>
        <w:spacing w:after="0" w:line="240" w:lineRule="auto"/>
        <w:jc w:val="both"/>
        <w:rPr>
          <w:rFonts w:ascii="Arial" w:hAnsi="Arial" w:cs="Arial"/>
          <w:b/>
          <w:sz w:val="20"/>
          <w:szCs w:val="20"/>
          <w:lang w:val="en-GB"/>
        </w:rPr>
      </w:pPr>
      <w:r w:rsidRPr="00DA6962">
        <w:rPr>
          <w:rFonts w:ascii="Arial" w:hAnsi="Arial" w:cs="Arial"/>
          <w:b/>
          <w:sz w:val="20"/>
          <w:szCs w:val="20"/>
          <w:lang w:val="en-GB"/>
        </w:rPr>
        <w:t xml:space="preserve">Current </w:t>
      </w:r>
      <w:r w:rsidR="009A736C">
        <w:rPr>
          <w:rFonts w:ascii="Arial" w:hAnsi="Arial" w:cs="Arial"/>
          <w:b/>
          <w:sz w:val="20"/>
          <w:szCs w:val="20"/>
          <w:lang w:val="en-GB"/>
        </w:rPr>
        <w:t>S</w:t>
      </w:r>
      <w:r w:rsidRPr="00DA6962">
        <w:rPr>
          <w:rFonts w:ascii="Arial" w:hAnsi="Arial" w:cs="Arial"/>
          <w:b/>
          <w:sz w:val="20"/>
          <w:szCs w:val="20"/>
          <w:lang w:val="en-GB"/>
        </w:rPr>
        <w:t>ystem: Features</w:t>
      </w:r>
    </w:p>
    <w:p w:rsidR="000627DA" w:rsidRPr="00DA6962" w:rsidRDefault="000627DA" w:rsidP="00DA6962">
      <w:pPr>
        <w:spacing w:after="0" w:line="240" w:lineRule="auto"/>
        <w:rPr>
          <w:rFonts w:ascii="Arial" w:hAnsi="Arial" w:cs="Arial"/>
          <w:sz w:val="20"/>
          <w:szCs w:val="20"/>
          <w:lang w:val="en-GB"/>
        </w:rPr>
      </w:pPr>
    </w:p>
    <w:p w:rsidR="00C1514B" w:rsidRPr="00DA6962" w:rsidRDefault="00C1514B" w:rsidP="00DA6962">
      <w:pPr>
        <w:spacing w:after="0" w:line="240" w:lineRule="auto"/>
        <w:jc w:val="both"/>
        <w:rPr>
          <w:rFonts w:ascii="Arial" w:hAnsi="Arial" w:cs="Arial"/>
          <w:sz w:val="20"/>
          <w:szCs w:val="20"/>
          <w:lang w:val="en-GB"/>
        </w:rPr>
      </w:pPr>
      <w:r w:rsidRPr="00DA6962">
        <w:rPr>
          <w:rFonts w:ascii="Arial" w:hAnsi="Arial" w:cs="Arial"/>
          <w:sz w:val="20"/>
          <w:szCs w:val="20"/>
          <w:lang w:val="en-GB"/>
        </w:rPr>
        <w:t>The current financing system established for the 5</w:t>
      </w:r>
      <w:r w:rsidR="009A736C">
        <w:rPr>
          <w:rFonts w:ascii="Arial" w:hAnsi="Arial" w:cs="Arial"/>
          <w:sz w:val="20"/>
          <w:szCs w:val="20"/>
          <w:lang w:val="en-GB"/>
        </w:rPr>
        <w:t>-</w:t>
      </w:r>
      <w:r w:rsidRPr="00DA6962">
        <w:rPr>
          <w:rFonts w:ascii="Arial" w:hAnsi="Arial" w:cs="Arial"/>
          <w:sz w:val="20"/>
          <w:szCs w:val="20"/>
          <w:lang w:val="en-GB"/>
        </w:rPr>
        <w:t>year period of 2009-2013 contemplates the following characteristics regarding the tax power:</w:t>
      </w:r>
    </w:p>
    <w:p w:rsidR="00C1514B" w:rsidRPr="00DA6962" w:rsidRDefault="00C1514B" w:rsidP="00DA6962">
      <w:pPr>
        <w:spacing w:after="0" w:line="240" w:lineRule="auto"/>
        <w:jc w:val="both"/>
        <w:rPr>
          <w:rFonts w:ascii="Arial" w:hAnsi="Arial" w:cs="Arial"/>
          <w:sz w:val="20"/>
          <w:szCs w:val="20"/>
          <w:lang w:val="en-GB"/>
        </w:rPr>
      </w:pPr>
    </w:p>
    <w:p w:rsidR="00C1514B" w:rsidRPr="00DA6962" w:rsidRDefault="00C1514B" w:rsidP="00DA6962">
      <w:pPr>
        <w:pStyle w:val="ListParagraph"/>
        <w:numPr>
          <w:ilvl w:val="0"/>
          <w:numId w:val="12"/>
        </w:numPr>
        <w:spacing w:after="0" w:line="240" w:lineRule="auto"/>
        <w:jc w:val="both"/>
        <w:rPr>
          <w:rFonts w:ascii="Arial" w:hAnsi="Arial" w:cs="Arial"/>
          <w:sz w:val="20"/>
          <w:szCs w:val="20"/>
          <w:lang w:val="en-GB"/>
        </w:rPr>
      </w:pPr>
      <w:r w:rsidRPr="00DA6962">
        <w:rPr>
          <w:rFonts w:ascii="Arial" w:hAnsi="Arial" w:cs="Arial"/>
          <w:sz w:val="20"/>
          <w:szCs w:val="20"/>
          <w:lang w:val="en-GB"/>
        </w:rPr>
        <w:t xml:space="preserve">The ACs receive revenues from a wide range of tax sources (tax basket), further explained in Table 1. This includes the main taxes of the Spanish taxation system, including the Personal Income Tax and the Value Added Tax, that are by far the two taxes that raise the higher amount of tax revenues. Even if the cession is not total, the transfer percentages are high and represent at least half of the raised </w:t>
      </w:r>
      <w:r w:rsidR="00077A2C" w:rsidRPr="00DA6962">
        <w:rPr>
          <w:rFonts w:ascii="Arial" w:hAnsi="Arial" w:cs="Arial"/>
          <w:sz w:val="20"/>
          <w:szCs w:val="20"/>
          <w:lang w:val="en-GB"/>
        </w:rPr>
        <w:t>revenues</w:t>
      </w:r>
      <w:r w:rsidRPr="00DA6962">
        <w:rPr>
          <w:rFonts w:ascii="Arial" w:hAnsi="Arial" w:cs="Arial"/>
          <w:sz w:val="20"/>
          <w:szCs w:val="20"/>
          <w:lang w:val="en-GB"/>
        </w:rPr>
        <w:t xml:space="preserve">. </w:t>
      </w:r>
    </w:p>
    <w:p w:rsidR="00C1514B" w:rsidRPr="00DA6962" w:rsidRDefault="00C1514B" w:rsidP="00DA6962">
      <w:pPr>
        <w:pStyle w:val="ListParagraph"/>
        <w:spacing w:after="0" w:line="240" w:lineRule="auto"/>
        <w:jc w:val="both"/>
        <w:rPr>
          <w:rFonts w:ascii="Arial" w:hAnsi="Arial" w:cs="Arial"/>
          <w:sz w:val="20"/>
          <w:szCs w:val="20"/>
          <w:lang w:val="en-GB"/>
        </w:rPr>
      </w:pPr>
    </w:p>
    <w:p w:rsidR="00C1514B" w:rsidRPr="00DA6962" w:rsidRDefault="00C1514B" w:rsidP="00DA6962">
      <w:pPr>
        <w:pStyle w:val="ListParagraph"/>
        <w:numPr>
          <w:ilvl w:val="0"/>
          <w:numId w:val="12"/>
        </w:numPr>
        <w:spacing w:after="0" w:line="240" w:lineRule="auto"/>
        <w:jc w:val="both"/>
        <w:rPr>
          <w:rFonts w:ascii="Arial" w:hAnsi="Arial" w:cs="Arial"/>
          <w:sz w:val="20"/>
          <w:szCs w:val="20"/>
          <w:lang w:val="en-GB"/>
        </w:rPr>
      </w:pPr>
      <w:r w:rsidRPr="00DA6962">
        <w:rPr>
          <w:rFonts w:ascii="Arial" w:hAnsi="Arial" w:cs="Arial"/>
          <w:sz w:val="20"/>
          <w:szCs w:val="20"/>
          <w:lang w:val="en-GB"/>
        </w:rPr>
        <w:t>The tax power, as explained in Table 1, varies highly. If the level is high this means that the AC can modify, without restrictions, the tax rates</w:t>
      </w:r>
      <w:r w:rsidR="00077A2C" w:rsidRPr="00DA6962">
        <w:rPr>
          <w:rFonts w:ascii="Arial" w:hAnsi="Arial" w:cs="Arial"/>
          <w:sz w:val="20"/>
          <w:szCs w:val="20"/>
          <w:lang w:val="en-GB"/>
        </w:rPr>
        <w:t>,</w:t>
      </w:r>
      <w:r w:rsidRPr="00DA6962">
        <w:rPr>
          <w:rFonts w:ascii="Arial" w:hAnsi="Arial" w:cs="Arial"/>
          <w:sz w:val="20"/>
          <w:szCs w:val="20"/>
          <w:lang w:val="en-GB"/>
        </w:rPr>
        <w:t xml:space="preserve"> </w:t>
      </w:r>
      <w:r w:rsidR="00077A2C" w:rsidRPr="00DA6962">
        <w:rPr>
          <w:rFonts w:ascii="Arial" w:hAnsi="Arial" w:cs="Arial"/>
          <w:sz w:val="20"/>
          <w:szCs w:val="20"/>
          <w:lang w:val="en-GB"/>
        </w:rPr>
        <w:t xml:space="preserve">deductions and </w:t>
      </w:r>
      <w:r w:rsidRPr="00DA6962">
        <w:rPr>
          <w:rFonts w:ascii="Arial" w:hAnsi="Arial" w:cs="Arial"/>
          <w:sz w:val="20"/>
          <w:szCs w:val="20"/>
          <w:lang w:val="en-GB"/>
        </w:rPr>
        <w:t xml:space="preserve">tax credits. If the level is medium, as it is in the case of the </w:t>
      </w:r>
      <w:r w:rsidR="00077A2C" w:rsidRPr="00DA6962">
        <w:rPr>
          <w:rFonts w:ascii="Arial" w:hAnsi="Arial" w:cs="Arial"/>
          <w:sz w:val="20"/>
          <w:szCs w:val="20"/>
          <w:lang w:val="en-GB"/>
        </w:rPr>
        <w:t>income tax</w:t>
      </w:r>
      <w:r w:rsidRPr="00DA6962">
        <w:rPr>
          <w:rFonts w:ascii="Arial" w:hAnsi="Arial" w:cs="Arial"/>
          <w:sz w:val="20"/>
          <w:szCs w:val="20"/>
          <w:lang w:val="en-GB"/>
        </w:rPr>
        <w:t>, this means that the AC has the right to modify the regional tax rates of the tax corresponding to the general tax base, as well as the thresholds and tax credits with certain restrictions. However, does not provide ACs with the authority to modify the tax rates applied on the savings tax base</w:t>
      </w:r>
      <w:r w:rsidR="00077A2C" w:rsidRPr="00DA6962">
        <w:rPr>
          <w:rFonts w:ascii="Arial" w:hAnsi="Arial" w:cs="Arial"/>
          <w:sz w:val="20"/>
          <w:szCs w:val="20"/>
          <w:lang w:val="en-GB"/>
        </w:rPr>
        <w:t xml:space="preserve"> of the income tax</w:t>
      </w:r>
      <w:r w:rsidRPr="00DA6962">
        <w:rPr>
          <w:rFonts w:ascii="Arial" w:hAnsi="Arial" w:cs="Arial"/>
          <w:sz w:val="20"/>
          <w:szCs w:val="20"/>
          <w:lang w:val="en-GB"/>
        </w:rPr>
        <w:t xml:space="preserve">. When the tax power is low, it is limited to the modification of the tax rate within certain range. </w:t>
      </w:r>
    </w:p>
    <w:p w:rsidR="00C1514B" w:rsidRPr="00DA6962" w:rsidRDefault="00C1514B" w:rsidP="00DA6962">
      <w:pPr>
        <w:spacing w:after="0" w:line="240" w:lineRule="auto"/>
        <w:jc w:val="both"/>
        <w:rPr>
          <w:rFonts w:ascii="Arial" w:hAnsi="Arial" w:cs="Arial"/>
          <w:sz w:val="20"/>
          <w:szCs w:val="20"/>
          <w:lang w:val="en-GB"/>
        </w:rPr>
      </w:pPr>
    </w:p>
    <w:p w:rsidR="00C1514B" w:rsidRPr="00DA6962" w:rsidRDefault="00C1514B" w:rsidP="00DA6962">
      <w:pPr>
        <w:pStyle w:val="ListParagraph"/>
        <w:numPr>
          <w:ilvl w:val="0"/>
          <w:numId w:val="12"/>
        </w:numPr>
        <w:spacing w:after="0" w:line="240" w:lineRule="auto"/>
        <w:jc w:val="both"/>
        <w:rPr>
          <w:rFonts w:ascii="Arial" w:hAnsi="Arial" w:cs="Arial"/>
          <w:sz w:val="20"/>
          <w:szCs w:val="20"/>
          <w:lang w:val="en-GB"/>
        </w:rPr>
      </w:pPr>
      <w:r w:rsidRPr="00DA6962">
        <w:rPr>
          <w:rFonts w:ascii="Arial" w:hAnsi="Arial" w:cs="Arial"/>
          <w:sz w:val="20"/>
          <w:szCs w:val="20"/>
          <w:lang w:val="en-GB"/>
        </w:rPr>
        <w:t xml:space="preserve">As far as the administration of the tax is concerned (last column of Table 1), ACs are responsible for the management, auditing and collection of only minor taxes, which means that most revenues are collected by the State Tax Administration Agency. </w:t>
      </w:r>
    </w:p>
    <w:p w:rsidR="009A736C" w:rsidRDefault="009A736C" w:rsidP="00DA6962">
      <w:pPr>
        <w:spacing w:after="0" w:line="240" w:lineRule="auto"/>
        <w:ind w:left="708"/>
        <w:jc w:val="both"/>
        <w:rPr>
          <w:rFonts w:ascii="Arial" w:hAnsi="Arial" w:cs="Arial"/>
          <w:sz w:val="20"/>
          <w:szCs w:val="20"/>
          <w:lang w:val="en-GB"/>
        </w:rPr>
      </w:pPr>
    </w:p>
    <w:p w:rsidR="009A736C" w:rsidRDefault="009A736C" w:rsidP="00DA6962">
      <w:pPr>
        <w:spacing w:after="0" w:line="240" w:lineRule="auto"/>
        <w:ind w:left="708"/>
        <w:jc w:val="both"/>
        <w:rPr>
          <w:rFonts w:ascii="Arial" w:hAnsi="Arial" w:cs="Arial"/>
          <w:sz w:val="20"/>
          <w:szCs w:val="20"/>
          <w:lang w:val="en-GB"/>
        </w:rPr>
      </w:pPr>
    </w:p>
    <w:p w:rsidR="009A736C" w:rsidRDefault="009A736C" w:rsidP="00DA6962">
      <w:pPr>
        <w:spacing w:after="0" w:line="240" w:lineRule="auto"/>
        <w:ind w:left="708"/>
        <w:jc w:val="both"/>
        <w:rPr>
          <w:rFonts w:ascii="Arial" w:hAnsi="Arial" w:cs="Arial"/>
          <w:sz w:val="20"/>
          <w:szCs w:val="20"/>
          <w:lang w:val="en-GB"/>
        </w:rPr>
      </w:pPr>
    </w:p>
    <w:p w:rsidR="009A736C" w:rsidRDefault="009A736C" w:rsidP="00DA6962">
      <w:pPr>
        <w:spacing w:after="0" w:line="240" w:lineRule="auto"/>
        <w:ind w:left="708"/>
        <w:jc w:val="both"/>
        <w:rPr>
          <w:rFonts w:ascii="Arial" w:hAnsi="Arial" w:cs="Arial"/>
          <w:sz w:val="20"/>
          <w:szCs w:val="20"/>
          <w:lang w:val="en-GB"/>
        </w:rPr>
      </w:pPr>
    </w:p>
    <w:p w:rsidR="009A736C" w:rsidRPr="00DA6962" w:rsidRDefault="009A736C" w:rsidP="00DA6962">
      <w:pPr>
        <w:spacing w:after="0" w:line="240" w:lineRule="auto"/>
        <w:ind w:left="708"/>
        <w:jc w:val="both"/>
        <w:rPr>
          <w:rFonts w:ascii="Arial" w:hAnsi="Arial" w:cs="Arial"/>
          <w:sz w:val="20"/>
          <w:szCs w:val="20"/>
          <w:lang w:val="en-GB"/>
        </w:rPr>
      </w:pPr>
    </w:p>
    <w:p w:rsidR="00C1514B" w:rsidRPr="00DA6962" w:rsidRDefault="00C1514B" w:rsidP="00DA6962">
      <w:pPr>
        <w:spacing w:after="0" w:line="240" w:lineRule="auto"/>
        <w:ind w:left="708"/>
        <w:jc w:val="center"/>
        <w:rPr>
          <w:rFonts w:ascii="Arial" w:hAnsi="Arial" w:cs="Arial"/>
          <w:b/>
          <w:sz w:val="20"/>
          <w:szCs w:val="20"/>
          <w:lang w:val="en-GB"/>
        </w:rPr>
      </w:pPr>
      <w:r w:rsidRPr="00DA6962">
        <w:rPr>
          <w:rFonts w:ascii="Arial" w:hAnsi="Arial" w:cs="Arial"/>
          <w:b/>
          <w:sz w:val="20"/>
          <w:szCs w:val="20"/>
          <w:lang w:val="en-GB"/>
        </w:rPr>
        <w:lastRenderedPageBreak/>
        <w:t>Table 1: Bundle of taxes for the common regime ACs</w:t>
      </w:r>
    </w:p>
    <w:tbl>
      <w:tblPr>
        <w:tblStyle w:val="LightShading-Accent1"/>
        <w:tblW w:w="8484" w:type="dxa"/>
        <w:tblInd w:w="585" w:type="dxa"/>
        <w:tblLook w:val="04A0"/>
      </w:tblPr>
      <w:tblGrid>
        <w:gridCol w:w="3228"/>
        <w:gridCol w:w="1752"/>
        <w:gridCol w:w="1752"/>
        <w:gridCol w:w="1752"/>
      </w:tblGrid>
      <w:tr w:rsidR="00C1514B" w:rsidRPr="00DA6962" w:rsidTr="009A736C">
        <w:trPr>
          <w:cnfStyle w:val="100000000000"/>
        </w:trPr>
        <w:tc>
          <w:tcPr>
            <w:cnfStyle w:val="001000000000"/>
            <w:tcW w:w="3228" w:type="dxa"/>
          </w:tcPr>
          <w:p w:rsidR="00C1514B" w:rsidRPr="00DA6962" w:rsidRDefault="00C1514B" w:rsidP="00DA6962">
            <w:pPr>
              <w:jc w:val="center"/>
              <w:rPr>
                <w:rFonts w:ascii="Arial" w:hAnsi="Arial" w:cs="Arial"/>
                <w:sz w:val="20"/>
                <w:szCs w:val="20"/>
                <w:lang w:val="en-GB"/>
              </w:rPr>
            </w:pPr>
            <w:r w:rsidRPr="00DA6962">
              <w:rPr>
                <w:rFonts w:ascii="Arial" w:hAnsi="Arial" w:cs="Arial"/>
                <w:sz w:val="20"/>
                <w:szCs w:val="20"/>
                <w:lang w:val="en-GB"/>
              </w:rPr>
              <w:t>TAX</w:t>
            </w:r>
          </w:p>
        </w:tc>
        <w:tc>
          <w:tcPr>
            <w:tcW w:w="1752" w:type="dxa"/>
          </w:tcPr>
          <w:p w:rsidR="00C1514B" w:rsidRPr="00DA6962" w:rsidRDefault="00C1514B" w:rsidP="00DA6962">
            <w:pPr>
              <w:jc w:val="center"/>
              <w:cnfStyle w:val="100000000000"/>
              <w:rPr>
                <w:rFonts w:ascii="Arial" w:hAnsi="Arial" w:cs="Arial"/>
                <w:sz w:val="20"/>
                <w:szCs w:val="20"/>
                <w:lang w:val="en-GB"/>
              </w:rPr>
            </w:pPr>
            <w:r w:rsidRPr="00DA6962">
              <w:rPr>
                <w:rFonts w:ascii="Arial" w:hAnsi="Arial" w:cs="Arial"/>
                <w:sz w:val="20"/>
                <w:szCs w:val="20"/>
                <w:lang w:val="en-GB"/>
              </w:rPr>
              <w:t>ACs’ share</w:t>
            </w:r>
          </w:p>
        </w:tc>
        <w:tc>
          <w:tcPr>
            <w:tcW w:w="1752" w:type="dxa"/>
          </w:tcPr>
          <w:p w:rsidR="00C1514B" w:rsidRPr="00DA6962" w:rsidRDefault="00C1514B" w:rsidP="00DA6962">
            <w:pPr>
              <w:jc w:val="center"/>
              <w:cnfStyle w:val="100000000000"/>
              <w:rPr>
                <w:rFonts w:ascii="Arial" w:hAnsi="Arial" w:cs="Arial"/>
                <w:sz w:val="20"/>
                <w:szCs w:val="20"/>
                <w:lang w:val="en-GB"/>
              </w:rPr>
            </w:pPr>
            <w:r w:rsidRPr="00DA6962">
              <w:rPr>
                <w:rFonts w:ascii="Arial" w:hAnsi="Arial" w:cs="Arial"/>
                <w:sz w:val="20"/>
                <w:szCs w:val="20"/>
                <w:lang w:val="en-GB"/>
              </w:rPr>
              <w:t>AC legal power</w:t>
            </w:r>
          </w:p>
        </w:tc>
        <w:tc>
          <w:tcPr>
            <w:tcW w:w="1752" w:type="dxa"/>
          </w:tcPr>
          <w:p w:rsidR="00C1514B" w:rsidRPr="00DA6962" w:rsidRDefault="00C1514B" w:rsidP="00DA6962">
            <w:pPr>
              <w:jc w:val="center"/>
              <w:cnfStyle w:val="100000000000"/>
              <w:rPr>
                <w:rFonts w:ascii="Arial" w:hAnsi="Arial" w:cs="Arial"/>
                <w:sz w:val="20"/>
                <w:szCs w:val="20"/>
                <w:lang w:val="en-GB"/>
              </w:rPr>
            </w:pPr>
            <w:r w:rsidRPr="00DA6962">
              <w:rPr>
                <w:rFonts w:ascii="Arial" w:hAnsi="Arial" w:cs="Arial"/>
                <w:sz w:val="20"/>
                <w:szCs w:val="20"/>
                <w:lang w:val="en-GB"/>
              </w:rPr>
              <w:t>Administration</w:t>
            </w:r>
          </w:p>
        </w:tc>
      </w:tr>
      <w:tr w:rsidR="00C1514B" w:rsidRPr="00DA6962" w:rsidTr="009A736C">
        <w:trPr>
          <w:cnfStyle w:val="000000100000"/>
        </w:trPr>
        <w:tc>
          <w:tcPr>
            <w:cnfStyle w:val="001000000000"/>
            <w:tcW w:w="3228" w:type="dxa"/>
          </w:tcPr>
          <w:p w:rsidR="00C1514B" w:rsidRPr="00DA6962" w:rsidRDefault="00C1514B" w:rsidP="00DA6962">
            <w:pPr>
              <w:rPr>
                <w:rFonts w:ascii="Arial" w:hAnsi="Arial" w:cs="Arial"/>
                <w:b w:val="0"/>
                <w:sz w:val="20"/>
                <w:szCs w:val="20"/>
                <w:lang w:val="en-GB"/>
              </w:rPr>
            </w:pPr>
            <w:r w:rsidRPr="00DA6962">
              <w:rPr>
                <w:rFonts w:ascii="Arial" w:hAnsi="Arial" w:cs="Arial"/>
                <w:sz w:val="20"/>
                <w:szCs w:val="20"/>
                <w:lang w:val="en-GB"/>
              </w:rPr>
              <w:t>Income Tax</w:t>
            </w:r>
          </w:p>
        </w:tc>
        <w:tc>
          <w:tcPr>
            <w:tcW w:w="1752" w:type="dxa"/>
          </w:tcPr>
          <w:p w:rsidR="00C1514B" w:rsidRPr="00DA6962" w:rsidRDefault="00C1514B" w:rsidP="00DA6962">
            <w:pPr>
              <w:jc w:val="center"/>
              <w:cnfStyle w:val="000000100000"/>
              <w:rPr>
                <w:rFonts w:ascii="Arial" w:hAnsi="Arial" w:cs="Arial"/>
                <w:sz w:val="20"/>
                <w:szCs w:val="20"/>
                <w:lang w:val="en-GB"/>
              </w:rPr>
            </w:pPr>
            <w:r w:rsidRPr="00DA6962">
              <w:rPr>
                <w:rFonts w:ascii="Arial" w:hAnsi="Arial" w:cs="Arial"/>
                <w:sz w:val="20"/>
                <w:szCs w:val="20"/>
                <w:lang w:val="en-GB"/>
              </w:rPr>
              <w:t>50%</w:t>
            </w:r>
          </w:p>
        </w:tc>
        <w:tc>
          <w:tcPr>
            <w:tcW w:w="1752" w:type="dxa"/>
          </w:tcPr>
          <w:p w:rsidR="00C1514B" w:rsidRPr="00DA6962" w:rsidRDefault="00C1514B" w:rsidP="00DA6962">
            <w:pPr>
              <w:jc w:val="center"/>
              <w:cnfStyle w:val="000000100000"/>
              <w:rPr>
                <w:rFonts w:ascii="Arial" w:hAnsi="Arial" w:cs="Arial"/>
                <w:sz w:val="20"/>
                <w:szCs w:val="20"/>
                <w:lang w:val="en-GB"/>
              </w:rPr>
            </w:pPr>
            <w:r w:rsidRPr="00DA6962">
              <w:rPr>
                <w:rFonts w:ascii="Arial" w:hAnsi="Arial" w:cs="Arial"/>
                <w:sz w:val="20"/>
                <w:szCs w:val="20"/>
                <w:lang w:val="en-GB"/>
              </w:rPr>
              <w:t>Yes, medium</w:t>
            </w:r>
          </w:p>
        </w:tc>
        <w:tc>
          <w:tcPr>
            <w:tcW w:w="1752" w:type="dxa"/>
          </w:tcPr>
          <w:p w:rsidR="00C1514B" w:rsidRPr="00DA6962" w:rsidRDefault="00C1514B" w:rsidP="00DA6962">
            <w:pPr>
              <w:jc w:val="center"/>
              <w:cnfStyle w:val="000000100000"/>
              <w:rPr>
                <w:rFonts w:ascii="Arial" w:hAnsi="Arial" w:cs="Arial"/>
                <w:sz w:val="20"/>
                <w:szCs w:val="20"/>
                <w:lang w:val="en-GB"/>
              </w:rPr>
            </w:pPr>
            <w:r w:rsidRPr="00DA6962">
              <w:rPr>
                <w:rFonts w:ascii="Arial" w:hAnsi="Arial" w:cs="Arial"/>
                <w:sz w:val="20"/>
                <w:szCs w:val="20"/>
                <w:lang w:val="en-GB"/>
              </w:rPr>
              <w:t>State</w:t>
            </w:r>
          </w:p>
        </w:tc>
      </w:tr>
      <w:tr w:rsidR="00C1514B" w:rsidRPr="00DA6962" w:rsidTr="009A736C">
        <w:tc>
          <w:tcPr>
            <w:cnfStyle w:val="001000000000"/>
            <w:tcW w:w="3228" w:type="dxa"/>
          </w:tcPr>
          <w:p w:rsidR="00C1514B" w:rsidRPr="00DA6962" w:rsidRDefault="00C1514B" w:rsidP="00DA6962">
            <w:pPr>
              <w:rPr>
                <w:rFonts w:ascii="Arial" w:hAnsi="Arial" w:cs="Arial"/>
                <w:b w:val="0"/>
                <w:sz w:val="20"/>
                <w:szCs w:val="20"/>
                <w:lang w:val="en-GB"/>
              </w:rPr>
            </w:pPr>
            <w:r w:rsidRPr="00DA6962">
              <w:rPr>
                <w:rFonts w:ascii="Arial" w:hAnsi="Arial" w:cs="Arial"/>
                <w:sz w:val="20"/>
                <w:szCs w:val="20"/>
                <w:lang w:val="en-GB"/>
              </w:rPr>
              <w:t>VAT</w:t>
            </w:r>
          </w:p>
        </w:tc>
        <w:tc>
          <w:tcPr>
            <w:tcW w:w="1752" w:type="dxa"/>
          </w:tcPr>
          <w:p w:rsidR="00C1514B" w:rsidRPr="00DA6962" w:rsidRDefault="00C1514B" w:rsidP="00DA6962">
            <w:pPr>
              <w:jc w:val="center"/>
              <w:cnfStyle w:val="000000000000"/>
              <w:rPr>
                <w:rFonts w:ascii="Arial" w:hAnsi="Arial" w:cs="Arial"/>
                <w:sz w:val="20"/>
                <w:szCs w:val="20"/>
                <w:lang w:val="en-GB"/>
              </w:rPr>
            </w:pPr>
            <w:r w:rsidRPr="00DA6962">
              <w:rPr>
                <w:rFonts w:ascii="Arial" w:hAnsi="Arial" w:cs="Arial"/>
                <w:sz w:val="20"/>
                <w:szCs w:val="20"/>
                <w:lang w:val="en-GB"/>
              </w:rPr>
              <w:t>50%</w:t>
            </w:r>
          </w:p>
        </w:tc>
        <w:tc>
          <w:tcPr>
            <w:tcW w:w="1752" w:type="dxa"/>
          </w:tcPr>
          <w:p w:rsidR="00C1514B" w:rsidRPr="00DA6962" w:rsidRDefault="00C1514B" w:rsidP="00DA6962">
            <w:pPr>
              <w:jc w:val="center"/>
              <w:cnfStyle w:val="000000000000"/>
              <w:rPr>
                <w:rFonts w:ascii="Arial" w:hAnsi="Arial" w:cs="Arial"/>
                <w:sz w:val="20"/>
                <w:szCs w:val="20"/>
                <w:lang w:val="en-GB"/>
              </w:rPr>
            </w:pPr>
            <w:r w:rsidRPr="00DA6962">
              <w:rPr>
                <w:rFonts w:ascii="Arial" w:hAnsi="Arial" w:cs="Arial"/>
                <w:sz w:val="20"/>
                <w:szCs w:val="20"/>
                <w:lang w:val="en-GB"/>
              </w:rPr>
              <w:t>No</w:t>
            </w:r>
          </w:p>
        </w:tc>
        <w:tc>
          <w:tcPr>
            <w:tcW w:w="1752" w:type="dxa"/>
          </w:tcPr>
          <w:p w:rsidR="00C1514B" w:rsidRPr="00DA6962" w:rsidRDefault="00C1514B" w:rsidP="00DA6962">
            <w:pPr>
              <w:jc w:val="center"/>
              <w:cnfStyle w:val="000000000000"/>
              <w:rPr>
                <w:rFonts w:ascii="Arial" w:hAnsi="Arial" w:cs="Arial"/>
                <w:sz w:val="20"/>
                <w:szCs w:val="20"/>
                <w:lang w:val="en-GB"/>
              </w:rPr>
            </w:pPr>
            <w:r w:rsidRPr="00DA6962">
              <w:rPr>
                <w:rFonts w:ascii="Arial" w:hAnsi="Arial" w:cs="Arial"/>
                <w:sz w:val="20"/>
                <w:szCs w:val="20"/>
                <w:lang w:val="en-GB"/>
              </w:rPr>
              <w:t>State</w:t>
            </w:r>
          </w:p>
        </w:tc>
      </w:tr>
      <w:tr w:rsidR="00C1514B" w:rsidRPr="00DA6962" w:rsidTr="009A736C">
        <w:trPr>
          <w:cnfStyle w:val="000000100000"/>
        </w:trPr>
        <w:tc>
          <w:tcPr>
            <w:cnfStyle w:val="001000000000"/>
            <w:tcW w:w="3228" w:type="dxa"/>
          </w:tcPr>
          <w:p w:rsidR="00C1514B" w:rsidRPr="00DA6962" w:rsidRDefault="00C1514B" w:rsidP="00DA6962">
            <w:pPr>
              <w:rPr>
                <w:rFonts w:ascii="Arial" w:hAnsi="Arial" w:cs="Arial"/>
                <w:b w:val="0"/>
                <w:sz w:val="20"/>
                <w:szCs w:val="20"/>
                <w:lang w:val="en-GB"/>
              </w:rPr>
            </w:pPr>
            <w:r w:rsidRPr="00DA6962">
              <w:rPr>
                <w:rFonts w:ascii="Arial" w:hAnsi="Arial" w:cs="Arial"/>
                <w:sz w:val="20"/>
                <w:szCs w:val="20"/>
                <w:lang w:val="en-GB"/>
              </w:rPr>
              <w:t>Excises (fuel</w:t>
            </w:r>
            <w:r w:rsidRPr="00DA6962">
              <w:rPr>
                <w:rFonts w:ascii="Arial" w:hAnsi="Arial" w:cs="Arial"/>
                <w:b w:val="0"/>
                <w:sz w:val="20"/>
                <w:szCs w:val="20"/>
                <w:lang w:val="en-GB"/>
              </w:rPr>
              <w:t>,</w:t>
            </w:r>
            <w:r w:rsidRPr="00DA6962">
              <w:rPr>
                <w:rFonts w:ascii="Arial" w:hAnsi="Arial" w:cs="Arial"/>
                <w:sz w:val="20"/>
                <w:szCs w:val="20"/>
                <w:lang w:val="en-GB"/>
              </w:rPr>
              <w:t xml:space="preserve"> tobacco and alcohol)</w:t>
            </w:r>
          </w:p>
        </w:tc>
        <w:tc>
          <w:tcPr>
            <w:tcW w:w="1752" w:type="dxa"/>
          </w:tcPr>
          <w:p w:rsidR="00C1514B" w:rsidRPr="00DA6962" w:rsidRDefault="00C1514B" w:rsidP="00DA6962">
            <w:pPr>
              <w:jc w:val="center"/>
              <w:cnfStyle w:val="000000100000"/>
              <w:rPr>
                <w:rFonts w:ascii="Arial" w:hAnsi="Arial" w:cs="Arial"/>
                <w:sz w:val="20"/>
                <w:szCs w:val="20"/>
                <w:lang w:val="en-GB"/>
              </w:rPr>
            </w:pPr>
            <w:r w:rsidRPr="00DA6962">
              <w:rPr>
                <w:rFonts w:ascii="Arial" w:hAnsi="Arial" w:cs="Arial"/>
                <w:sz w:val="20"/>
                <w:szCs w:val="20"/>
                <w:lang w:val="en-GB"/>
              </w:rPr>
              <w:t>58%</w:t>
            </w:r>
          </w:p>
        </w:tc>
        <w:tc>
          <w:tcPr>
            <w:tcW w:w="1752" w:type="dxa"/>
          </w:tcPr>
          <w:p w:rsidR="00C1514B" w:rsidRPr="00DA6962" w:rsidRDefault="00C1514B" w:rsidP="00DA6962">
            <w:pPr>
              <w:jc w:val="center"/>
              <w:cnfStyle w:val="000000100000"/>
              <w:rPr>
                <w:rFonts w:ascii="Arial" w:hAnsi="Arial" w:cs="Arial"/>
                <w:sz w:val="20"/>
                <w:szCs w:val="20"/>
                <w:lang w:val="en-GB"/>
              </w:rPr>
            </w:pPr>
            <w:r w:rsidRPr="00DA6962">
              <w:rPr>
                <w:rFonts w:ascii="Arial" w:hAnsi="Arial" w:cs="Arial"/>
                <w:sz w:val="20"/>
                <w:szCs w:val="20"/>
                <w:lang w:val="en-GB"/>
              </w:rPr>
              <w:t>No</w:t>
            </w:r>
          </w:p>
        </w:tc>
        <w:tc>
          <w:tcPr>
            <w:tcW w:w="1752" w:type="dxa"/>
          </w:tcPr>
          <w:p w:rsidR="00C1514B" w:rsidRPr="00DA6962" w:rsidRDefault="00C1514B" w:rsidP="00DA6962">
            <w:pPr>
              <w:jc w:val="center"/>
              <w:cnfStyle w:val="000000100000"/>
              <w:rPr>
                <w:rFonts w:ascii="Arial" w:hAnsi="Arial" w:cs="Arial"/>
                <w:sz w:val="20"/>
                <w:szCs w:val="20"/>
                <w:lang w:val="en-GB"/>
              </w:rPr>
            </w:pPr>
            <w:r w:rsidRPr="00DA6962">
              <w:rPr>
                <w:rFonts w:ascii="Arial" w:hAnsi="Arial" w:cs="Arial"/>
                <w:sz w:val="20"/>
                <w:szCs w:val="20"/>
                <w:lang w:val="en-GB"/>
              </w:rPr>
              <w:t>State</w:t>
            </w:r>
          </w:p>
        </w:tc>
      </w:tr>
      <w:tr w:rsidR="00C1514B" w:rsidRPr="00DA6962" w:rsidTr="009A736C">
        <w:tc>
          <w:tcPr>
            <w:cnfStyle w:val="001000000000"/>
            <w:tcW w:w="3228" w:type="dxa"/>
          </w:tcPr>
          <w:p w:rsidR="00C1514B" w:rsidRPr="00DA6962" w:rsidRDefault="00C1514B" w:rsidP="00DA6962">
            <w:pPr>
              <w:rPr>
                <w:rFonts w:ascii="Arial" w:hAnsi="Arial" w:cs="Arial"/>
                <w:b w:val="0"/>
                <w:sz w:val="20"/>
                <w:szCs w:val="20"/>
                <w:lang w:val="en-GB"/>
              </w:rPr>
            </w:pPr>
            <w:r w:rsidRPr="00DA6962">
              <w:rPr>
                <w:rFonts w:ascii="Arial" w:hAnsi="Arial" w:cs="Arial"/>
                <w:sz w:val="20"/>
                <w:szCs w:val="20"/>
                <w:lang w:val="en-GB"/>
              </w:rPr>
              <w:t xml:space="preserve">Capital </w:t>
            </w:r>
            <w:r w:rsidRPr="00DA6962">
              <w:rPr>
                <w:rFonts w:ascii="Arial" w:hAnsi="Arial" w:cs="Arial"/>
                <w:b w:val="0"/>
                <w:sz w:val="20"/>
                <w:szCs w:val="20"/>
                <w:lang w:val="en-GB"/>
              </w:rPr>
              <w:t>T</w:t>
            </w:r>
            <w:r w:rsidRPr="00DA6962">
              <w:rPr>
                <w:rFonts w:ascii="Arial" w:hAnsi="Arial" w:cs="Arial"/>
                <w:sz w:val="20"/>
                <w:szCs w:val="20"/>
                <w:lang w:val="en-GB"/>
              </w:rPr>
              <w:t xml:space="preserve">ransfers </w:t>
            </w:r>
            <w:r w:rsidRPr="00DA6962">
              <w:rPr>
                <w:rFonts w:ascii="Arial" w:hAnsi="Arial" w:cs="Arial"/>
                <w:b w:val="0"/>
                <w:sz w:val="20"/>
                <w:szCs w:val="20"/>
                <w:lang w:val="en-GB"/>
              </w:rPr>
              <w:t>T</w:t>
            </w:r>
            <w:r w:rsidRPr="00DA6962">
              <w:rPr>
                <w:rFonts w:ascii="Arial" w:hAnsi="Arial" w:cs="Arial"/>
                <w:sz w:val="20"/>
                <w:szCs w:val="20"/>
                <w:lang w:val="en-GB"/>
              </w:rPr>
              <w:t>ax</w:t>
            </w:r>
          </w:p>
        </w:tc>
        <w:tc>
          <w:tcPr>
            <w:tcW w:w="1752" w:type="dxa"/>
          </w:tcPr>
          <w:p w:rsidR="00C1514B" w:rsidRPr="00DA6962" w:rsidRDefault="00C1514B" w:rsidP="00DA6962">
            <w:pPr>
              <w:jc w:val="center"/>
              <w:cnfStyle w:val="000000000000"/>
              <w:rPr>
                <w:rFonts w:ascii="Arial" w:hAnsi="Arial" w:cs="Arial"/>
                <w:sz w:val="20"/>
                <w:szCs w:val="20"/>
                <w:lang w:val="en-GB"/>
              </w:rPr>
            </w:pPr>
            <w:r w:rsidRPr="00DA6962">
              <w:rPr>
                <w:rFonts w:ascii="Arial" w:hAnsi="Arial" w:cs="Arial"/>
                <w:sz w:val="20"/>
                <w:szCs w:val="20"/>
                <w:lang w:val="en-GB"/>
              </w:rPr>
              <w:t>100%</w:t>
            </w:r>
          </w:p>
        </w:tc>
        <w:tc>
          <w:tcPr>
            <w:tcW w:w="1752" w:type="dxa"/>
          </w:tcPr>
          <w:p w:rsidR="00C1514B" w:rsidRPr="00DA6962" w:rsidRDefault="00C1514B" w:rsidP="00DA6962">
            <w:pPr>
              <w:jc w:val="center"/>
              <w:cnfStyle w:val="000000000000"/>
              <w:rPr>
                <w:rFonts w:ascii="Arial" w:hAnsi="Arial" w:cs="Arial"/>
                <w:sz w:val="20"/>
                <w:szCs w:val="20"/>
                <w:lang w:val="en-GB"/>
              </w:rPr>
            </w:pPr>
            <w:r w:rsidRPr="00DA6962">
              <w:rPr>
                <w:rFonts w:ascii="Arial" w:hAnsi="Arial" w:cs="Arial"/>
                <w:sz w:val="20"/>
                <w:szCs w:val="20"/>
                <w:lang w:val="en-GB"/>
              </w:rPr>
              <w:t>Yes, high</w:t>
            </w:r>
          </w:p>
        </w:tc>
        <w:tc>
          <w:tcPr>
            <w:tcW w:w="1752" w:type="dxa"/>
          </w:tcPr>
          <w:p w:rsidR="00C1514B" w:rsidRPr="00DA6962" w:rsidRDefault="00C1514B" w:rsidP="00DA6962">
            <w:pPr>
              <w:jc w:val="center"/>
              <w:cnfStyle w:val="000000000000"/>
              <w:rPr>
                <w:rFonts w:ascii="Arial" w:hAnsi="Arial" w:cs="Arial"/>
                <w:sz w:val="20"/>
                <w:szCs w:val="20"/>
                <w:lang w:val="en-GB"/>
              </w:rPr>
            </w:pPr>
            <w:r w:rsidRPr="00DA6962">
              <w:rPr>
                <w:rFonts w:ascii="Arial" w:hAnsi="Arial" w:cs="Arial"/>
                <w:sz w:val="20"/>
                <w:szCs w:val="20"/>
                <w:lang w:val="en-GB"/>
              </w:rPr>
              <w:t>AC</w:t>
            </w:r>
          </w:p>
        </w:tc>
      </w:tr>
      <w:tr w:rsidR="00C1514B" w:rsidRPr="00DA6962" w:rsidTr="009A736C">
        <w:trPr>
          <w:cnfStyle w:val="000000100000"/>
        </w:trPr>
        <w:tc>
          <w:tcPr>
            <w:cnfStyle w:val="001000000000"/>
            <w:tcW w:w="3228" w:type="dxa"/>
          </w:tcPr>
          <w:p w:rsidR="00C1514B" w:rsidRPr="00DA6962" w:rsidRDefault="00C1514B" w:rsidP="00DA6962">
            <w:pPr>
              <w:rPr>
                <w:rFonts w:ascii="Arial" w:hAnsi="Arial" w:cs="Arial"/>
                <w:b w:val="0"/>
                <w:sz w:val="20"/>
                <w:szCs w:val="20"/>
                <w:lang w:val="en-GB"/>
              </w:rPr>
            </w:pPr>
            <w:r w:rsidRPr="00DA6962">
              <w:rPr>
                <w:rFonts w:ascii="Arial" w:hAnsi="Arial" w:cs="Arial"/>
                <w:sz w:val="20"/>
                <w:szCs w:val="20"/>
                <w:lang w:val="en-GB"/>
              </w:rPr>
              <w:t xml:space="preserve">Stamp </w:t>
            </w:r>
            <w:r w:rsidRPr="00DA6962">
              <w:rPr>
                <w:rFonts w:ascii="Arial" w:hAnsi="Arial" w:cs="Arial"/>
                <w:b w:val="0"/>
                <w:sz w:val="20"/>
                <w:szCs w:val="20"/>
                <w:lang w:val="en-GB"/>
              </w:rPr>
              <w:t>D</w:t>
            </w:r>
            <w:r w:rsidRPr="00DA6962">
              <w:rPr>
                <w:rFonts w:ascii="Arial" w:hAnsi="Arial" w:cs="Arial"/>
                <w:sz w:val="20"/>
                <w:szCs w:val="20"/>
                <w:lang w:val="en-GB"/>
              </w:rPr>
              <w:t>uty</w:t>
            </w:r>
          </w:p>
        </w:tc>
        <w:tc>
          <w:tcPr>
            <w:tcW w:w="1752" w:type="dxa"/>
          </w:tcPr>
          <w:p w:rsidR="00C1514B" w:rsidRPr="00DA6962" w:rsidRDefault="00C1514B" w:rsidP="00DA6962">
            <w:pPr>
              <w:jc w:val="center"/>
              <w:cnfStyle w:val="000000100000"/>
              <w:rPr>
                <w:rFonts w:ascii="Arial" w:hAnsi="Arial" w:cs="Arial"/>
                <w:sz w:val="20"/>
                <w:szCs w:val="20"/>
                <w:lang w:val="en-GB"/>
              </w:rPr>
            </w:pPr>
            <w:r w:rsidRPr="00DA6962">
              <w:rPr>
                <w:rFonts w:ascii="Arial" w:hAnsi="Arial" w:cs="Arial"/>
                <w:sz w:val="20"/>
                <w:szCs w:val="20"/>
                <w:lang w:val="en-GB"/>
              </w:rPr>
              <w:t>100%</w:t>
            </w:r>
          </w:p>
        </w:tc>
        <w:tc>
          <w:tcPr>
            <w:tcW w:w="1752" w:type="dxa"/>
          </w:tcPr>
          <w:p w:rsidR="00C1514B" w:rsidRPr="00DA6962" w:rsidRDefault="00C1514B" w:rsidP="00DA6962">
            <w:pPr>
              <w:jc w:val="center"/>
              <w:cnfStyle w:val="000000100000"/>
              <w:rPr>
                <w:rFonts w:ascii="Arial" w:hAnsi="Arial" w:cs="Arial"/>
                <w:sz w:val="20"/>
                <w:szCs w:val="20"/>
                <w:lang w:val="en-GB"/>
              </w:rPr>
            </w:pPr>
            <w:r w:rsidRPr="00DA6962">
              <w:rPr>
                <w:rFonts w:ascii="Arial" w:hAnsi="Arial" w:cs="Arial"/>
                <w:sz w:val="20"/>
                <w:szCs w:val="20"/>
                <w:lang w:val="en-GB"/>
              </w:rPr>
              <w:t>Yes, high</w:t>
            </w:r>
          </w:p>
        </w:tc>
        <w:tc>
          <w:tcPr>
            <w:tcW w:w="1752" w:type="dxa"/>
          </w:tcPr>
          <w:p w:rsidR="00C1514B" w:rsidRPr="00DA6962" w:rsidRDefault="00C1514B" w:rsidP="00DA6962">
            <w:pPr>
              <w:jc w:val="center"/>
              <w:cnfStyle w:val="000000100000"/>
              <w:rPr>
                <w:rFonts w:ascii="Arial" w:hAnsi="Arial" w:cs="Arial"/>
                <w:sz w:val="20"/>
                <w:szCs w:val="20"/>
                <w:lang w:val="en-GB"/>
              </w:rPr>
            </w:pPr>
            <w:r w:rsidRPr="00DA6962">
              <w:rPr>
                <w:rFonts w:ascii="Arial" w:hAnsi="Arial" w:cs="Arial"/>
                <w:sz w:val="20"/>
                <w:szCs w:val="20"/>
                <w:lang w:val="en-GB"/>
              </w:rPr>
              <w:t>AC</w:t>
            </w:r>
          </w:p>
        </w:tc>
      </w:tr>
      <w:tr w:rsidR="00C1514B" w:rsidRPr="00DA6962" w:rsidTr="009A736C">
        <w:tc>
          <w:tcPr>
            <w:cnfStyle w:val="001000000000"/>
            <w:tcW w:w="3228" w:type="dxa"/>
          </w:tcPr>
          <w:p w:rsidR="00C1514B" w:rsidRPr="00DA6962" w:rsidRDefault="00C1514B" w:rsidP="00DA6962">
            <w:pPr>
              <w:rPr>
                <w:rFonts w:ascii="Arial" w:hAnsi="Arial" w:cs="Arial"/>
                <w:b w:val="0"/>
                <w:sz w:val="20"/>
                <w:szCs w:val="20"/>
                <w:lang w:val="en-GB"/>
              </w:rPr>
            </w:pPr>
            <w:r w:rsidRPr="00DA6962">
              <w:rPr>
                <w:rFonts w:ascii="Arial" w:hAnsi="Arial" w:cs="Arial"/>
                <w:sz w:val="20"/>
                <w:szCs w:val="20"/>
                <w:lang w:val="en-GB"/>
              </w:rPr>
              <w:t xml:space="preserve">Inheritance and </w:t>
            </w:r>
            <w:r w:rsidRPr="00DA6962">
              <w:rPr>
                <w:rFonts w:ascii="Arial" w:hAnsi="Arial" w:cs="Arial"/>
                <w:b w:val="0"/>
                <w:sz w:val="20"/>
                <w:szCs w:val="20"/>
                <w:lang w:val="en-GB"/>
              </w:rPr>
              <w:t>G</w:t>
            </w:r>
            <w:r w:rsidRPr="00DA6962">
              <w:rPr>
                <w:rFonts w:ascii="Arial" w:hAnsi="Arial" w:cs="Arial"/>
                <w:sz w:val="20"/>
                <w:szCs w:val="20"/>
                <w:lang w:val="en-GB"/>
              </w:rPr>
              <w:t xml:space="preserve">ift </w:t>
            </w:r>
            <w:r w:rsidRPr="00DA6962">
              <w:rPr>
                <w:rFonts w:ascii="Arial" w:hAnsi="Arial" w:cs="Arial"/>
                <w:b w:val="0"/>
                <w:sz w:val="20"/>
                <w:szCs w:val="20"/>
                <w:lang w:val="en-GB"/>
              </w:rPr>
              <w:t>T</w:t>
            </w:r>
            <w:r w:rsidRPr="00DA6962">
              <w:rPr>
                <w:rFonts w:ascii="Arial" w:hAnsi="Arial" w:cs="Arial"/>
                <w:sz w:val="20"/>
                <w:szCs w:val="20"/>
                <w:lang w:val="en-GB"/>
              </w:rPr>
              <w:t>ax</w:t>
            </w:r>
          </w:p>
        </w:tc>
        <w:tc>
          <w:tcPr>
            <w:tcW w:w="1752" w:type="dxa"/>
          </w:tcPr>
          <w:p w:rsidR="00C1514B" w:rsidRPr="00DA6962" w:rsidRDefault="00C1514B" w:rsidP="00DA6962">
            <w:pPr>
              <w:jc w:val="center"/>
              <w:cnfStyle w:val="000000000000"/>
              <w:rPr>
                <w:rFonts w:ascii="Arial" w:hAnsi="Arial" w:cs="Arial"/>
                <w:sz w:val="20"/>
                <w:szCs w:val="20"/>
                <w:lang w:val="en-GB"/>
              </w:rPr>
            </w:pPr>
            <w:r w:rsidRPr="00DA6962">
              <w:rPr>
                <w:rFonts w:ascii="Arial" w:hAnsi="Arial" w:cs="Arial"/>
                <w:sz w:val="20"/>
                <w:szCs w:val="20"/>
                <w:lang w:val="en-GB"/>
              </w:rPr>
              <w:t>100%</w:t>
            </w:r>
          </w:p>
        </w:tc>
        <w:tc>
          <w:tcPr>
            <w:tcW w:w="1752" w:type="dxa"/>
          </w:tcPr>
          <w:p w:rsidR="00C1514B" w:rsidRPr="00DA6962" w:rsidRDefault="00C1514B" w:rsidP="00DA6962">
            <w:pPr>
              <w:jc w:val="center"/>
              <w:cnfStyle w:val="000000000000"/>
              <w:rPr>
                <w:rFonts w:ascii="Arial" w:hAnsi="Arial" w:cs="Arial"/>
                <w:sz w:val="20"/>
                <w:szCs w:val="20"/>
                <w:lang w:val="en-GB"/>
              </w:rPr>
            </w:pPr>
            <w:r w:rsidRPr="00DA6962">
              <w:rPr>
                <w:rFonts w:ascii="Arial" w:hAnsi="Arial" w:cs="Arial"/>
                <w:sz w:val="20"/>
                <w:szCs w:val="20"/>
                <w:lang w:val="en-GB"/>
              </w:rPr>
              <w:t>Yes, high</w:t>
            </w:r>
          </w:p>
        </w:tc>
        <w:tc>
          <w:tcPr>
            <w:tcW w:w="1752" w:type="dxa"/>
          </w:tcPr>
          <w:p w:rsidR="00C1514B" w:rsidRPr="00DA6962" w:rsidRDefault="00C1514B" w:rsidP="00DA6962">
            <w:pPr>
              <w:jc w:val="center"/>
              <w:cnfStyle w:val="000000000000"/>
              <w:rPr>
                <w:rFonts w:ascii="Arial" w:hAnsi="Arial" w:cs="Arial"/>
                <w:sz w:val="20"/>
                <w:szCs w:val="20"/>
                <w:lang w:val="en-GB"/>
              </w:rPr>
            </w:pPr>
            <w:r w:rsidRPr="00DA6962">
              <w:rPr>
                <w:rFonts w:ascii="Arial" w:hAnsi="Arial" w:cs="Arial"/>
                <w:sz w:val="20"/>
                <w:szCs w:val="20"/>
                <w:lang w:val="en-GB"/>
              </w:rPr>
              <w:t>AC</w:t>
            </w:r>
          </w:p>
        </w:tc>
      </w:tr>
      <w:tr w:rsidR="00C1514B" w:rsidRPr="00DA6962" w:rsidTr="009A736C">
        <w:trPr>
          <w:cnfStyle w:val="000000100000"/>
        </w:trPr>
        <w:tc>
          <w:tcPr>
            <w:cnfStyle w:val="001000000000"/>
            <w:tcW w:w="3228" w:type="dxa"/>
          </w:tcPr>
          <w:p w:rsidR="00C1514B" w:rsidRPr="00DA6962" w:rsidRDefault="00C1514B" w:rsidP="00DA6962">
            <w:pPr>
              <w:rPr>
                <w:rFonts w:ascii="Arial" w:hAnsi="Arial" w:cs="Arial"/>
                <w:b w:val="0"/>
                <w:sz w:val="20"/>
                <w:szCs w:val="20"/>
                <w:lang w:val="en-GB"/>
              </w:rPr>
            </w:pPr>
            <w:r w:rsidRPr="00DA6962">
              <w:rPr>
                <w:rFonts w:ascii="Arial" w:hAnsi="Arial" w:cs="Arial"/>
                <w:sz w:val="20"/>
                <w:szCs w:val="20"/>
                <w:lang w:val="en-GB"/>
              </w:rPr>
              <w:t xml:space="preserve">Annual </w:t>
            </w:r>
            <w:r w:rsidRPr="00DA6962">
              <w:rPr>
                <w:rFonts w:ascii="Arial" w:hAnsi="Arial" w:cs="Arial"/>
                <w:b w:val="0"/>
                <w:sz w:val="20"/>
                <w:szCs w:val="20"/>
                <w:lang w:val="en-GB"/>
              </w:rPr>
              <w:t>N</w:t>
            </w:r>
            <w:r w:rsidRPr="00DA6962">
              <w:rPr>
                <w:rFonts w:ascii="Arial" w:hAnsi="Arial" w:cs="Arial"/>
                <w:sz w:val="20"/>
                <w:szCs w:val="20"/>
                <w:lang w:val="en-GB"/>
              </w:rPr>
              <w:t xml:space="preserve">et </w:t>
            </w:r>
            <w:r w:rsidRPr="00DA6962">
              <w:rPr>
                <w:rFonts w:ascii="Arial" w:hAnsi="Arial" w:cs="Arial"/>
                <w:b w:val="0"/>
                <w:sz w:val="20"/>
                <w:szCs w:val="20"/>
                <w:lang w:val="en-GB"/>
              </w:rPr>
              <w:t>W</w:t>
            </w:r>
            <w:r w:rsidRPr="00DA6962">
              <w:rPr>
                <w:rFonts w:ascii="Arial" w:hAnsi="Arial" w:cs="Arial"/>
                <w:sz w:val="20"/>
                <w:szCs w:val="20"/>
                <w:lang w:val="en-GB"/>
              </w:rPr>
              <w:t xml:space="preserve">ealth </w:t>
            </w:r>
            <w:r w:rsidRPr="00DA6962">
              <w:rPr>
                <w:rFonts w:ascii="Arial" w:hAnsi="Arial" w:cs="Arial"/>
                <w:b w:val="0"/>
                <w:sz w:val="20"/>
                <w:szCs w:val="20"/>
                <w:lang w:val="en-GB"/>
              </w:rPr>
              <w:t>T</w:t>
            </w:r>
            <w:r w:rsidRPr="00DA6962">
              <w:rPr>
                <w:rFonts w:ascii="Arial" w:hAnsi="Arial" w:cs="Arial"/>
                <w:sz w:val="20"/>
                <w:szCs w:val="20"/>
                <w:lang w:val="en-GB"/>
              </w:rPr>
              <w:t>ax</w:t>
            </w:r>
          </w:p>
        </w:tc>
        <w:tc>
          <w:tcPr>
            <w:tcW w:w="1752" w:type="dxa"/>
          </w:tcPr>
          <w:p w:rsidR="00C1514B" w:rsidRPr="00DA6962" w:rsidRDefault="00C1514B" w:rsidP="00DA6962">
            <w:pPr>
              <w:jc w:val="center"/>
              <w:cnfStyle w:val="000000100000"/>
              <w:rPr>
                <w:rFonts w:ascii="Arial" w:hAnsi="Arial" w:cs="Arial"/>
                <w:sz w:val="20"/>
                <w:szCs w:val="20"/>
                <w:lang w:val="en-GB"/>
              </w:rPr>
            </w:pPr>
            <w:r w:rsidRPr="00DA6962">
              <w:rPr>
                <w:rFonts w:ascii="Arial" w:hAnsi="Arial" w:cs="Arial"/>
                <w:sz w:val="20"/>
                <w:szCs w:val="20"/>
                <w:lang w:val="en-GB"/>
              </w:rPr>
              <w:t>100%</w:t>
            </w:r>
          </w:p>
        </w:tc>
        <w:tc>
          <w:tcPr>
            <w:tcW w:w="1752" w:type="dxa"/>
          </w:tcPr>
          <w:p w:rsidR="00C1514B" w:rsidRPr="00DA6962" w:rsidRDefault="00C1514B" w:rsidP="00DA6962">
            <w:pPr>
              <w:jc w:val="center"/>
              <w:cnfStyle w:val="000000100000"/>
              <w:rPr>
                <w:rFonts w:ascii="Arial" w:hAnsi="Arial" w:cs="Arial"/>
                <w:sz w:val="20"/>
                <w:szCs w:val="20"/>
                <w:lang w:val="en-GB"/>
              </w:rPr>
            </w:pPr>
            <w:r w:rsidRPr="00DA6962">
              <w:rPr>
                <w:rFonts w:ascii="Arial" w:hAnsi="Arial" w:cs="Arial"/>
                <w:sz w:val="20"/>
                <w:szCs w:val="20"/>
                <w:lang w:val="en-GB"/>
              </w:rPr>
              <w:t>Yes, high</w:t>
            </w:r>
          </w:p>
        </w:tc>
        <w:tc>
          <w:tcPr>
            <w:tcW w:w="1752" w:type="dxa"/>
          </w:tcPr>
          <w:p w:rsidR="00C1514B" w:rsidRPr="00DA6962" w:rsidRDefault="00C1514B" w:rsidP="00DA6962">
            <w:pPr>
              <w:jc w:val="center"/>
              <w:cnfStyle w:val="000000100000"/>
              <w:rPr>
                <w:rFonts w:ascii="Arial" w:hAnsi="Arial" w:cs="Arial"/>
                <w:sz w:val="20"/>
                <w:szCs w:val="20"/>
                <w:lang w:val="en-GB"/>
              </w:rPr>
            </w:pPr>
            <w:r w:rsidRPr="00DA6962">
              <w:rPr>
                <w:rFonts w:ascii="Arial" w:hAnsi="Arial" w:cs="Arial"/>
                <w:sz w:val="20"/>
                <w:szCs w:val="20"/>
                <w:lang w:val="en-GB"/>
              </w:rPr>
              <w:t>State / AC</w:t>
            </w:r>
          </w:p>
        </w:tc>
      </w:tr>
      <w:tr w:rsidR="00C1514B" w:rsidRPr="00DA6962" w:rsidTr="009A736C">
        <w:tc>
          <w:tcPr>
            <w:cnfStyle w:val="001000000000"/>
            <w:tcW w:w="3228" w:type="dxa"/>
          </w:tcPr>
          <w:p w:rsidR="00C1514B" w:rsidRPr="00DA6962" w:rsidRDefault="00C1514B" w:rsidP="00DA6962">
            <w:pPr>
              <w:rPr>
                <w:rFonts w:ascii="Arial" w:hAnsi="Arial" w:cs="Arial"/>
                <w:b w:val="0"/>
                <w:sz w:val="20"/>
                <w:szCs w:val="20"/>
                <w:lang w:val="en-GB"/>
              </w:rPr>
            </w:pPr>
            <w:r w:rsidRPr="00DA6962">
              <w:rPr>
                <w:rFonts w:ascii="Arial" w:hAnsi="Arial" w:cs="Arial"/>
                <w:sz w:val="20"/>
                <w:szCs w:val="20"/>
                <w:lang w:val="en-GB"/>
              </w:rPr>
              <w:t xml:space="preserve">Car </w:t>
            </w:r>
            <w:r w:rsidRPr="00DA6962">
              <w:rPr>
                <w:rFonts w:ascii="Arial" w:hAnsi="Arial" w:cs="Arial"/>
                <w:b w:val="0"/>
                <w:sz w:val="20"/>
                <w:szCs w:val="20"/>
                <w:lang w:val="en-GB"/>
              </w:rPr>
              <w:t>R</w:t>
            </w:r>
            <w:r w:rsidRPr="00DA6962">
              <w:rPr>
                <w:rFonts w:ascii="Arial" w:hAnsi="Arial" w:cs="Arial"/>
                <w:sz w:val="20"/>
                <w:szCs w:val="20"/>
                <w:lang w:val="en-GB"/>
              </w:rPr>
              <w:t>egistration</w:t>
            </w:r>
            <w:r w:rsidRPr="00DA6962">
              <w:rPr>
                <w:rFonts w:ascii="Arial" w:hAnsi="Arial" w:cs="Arial"/>
                <w:b w:val="0"/>
                <w:sz w:val="20"/>
                <w:szCs w:val="20"/>
                <w:lang w:val="en-GB"/>
              </w:rPr>
              <w:t xml:space="preserve"> Tax</w:t>
            </w:r>
          </w:p>
        </w:tc>
        <w:tc>
          <w:tcPr>
            <w:tcW w:w="1752" w:type="dxa"/>
          </w:tcPr>
          <w:p w:rsidR="00C1514B" w:rsidRPr="00DA6962" w:rsidRDefault="00C1514B" w:rsidP="00DA6962">
            <w:pPr>
              <w:jc w:val="center"/>
              <w:cnfStyle w:val="000000000000"/>
              <w:rPr>
                <w:rFonts w:ascii="Arial" w:hAnsi="Arial" w:cs="Arial"/>
                <w:sz w:val="20"/>
                <w:szCs w:val="20"/>
                <w:lang w:val="en-GB"/>
              </w:rPr>
            </w:pPr>
            <w:r w:rsidRPr="00DA6962">
              <w:rPr>
                <w:rFonts w:ascii="Arial" w:hAnsi="Arial" w:cs="Arial"/>
                <w:sz w:val="20"/>
                <w:szCs w:val="20"/>
                <w:lang w:val="en-GB"/>
              </w:rPr>
              <w:t>100%</w:t>
            </w:r>
          </w:p>
        </w:tc>
        <w:tc>
          <w:tcPr>
            <w:tcW w:w="1752" w:type="dxa"/>
          </w:tcPr>
          <w:p w:rsidR="00C1514B" w:rsidRPr="00DA6962" w:rsidRDefault="00C1514B" w:rsidP="00DA6962">
            <w:pPr>
              <w:jc w:val="center"/>
              <w:cnfStyle w:val="000000000000"/>
              <w:rPr>
                <w:rFonts w:ascii="Arial" w:hAnsi="Arial" w:cs="Arial"/>
                <w:sz w:val="20"/>
                <w:szCs w:val="20"/>
                <w:lang w:val="en-GB"/>
              </w:rPr>
            </w:pPr>
            <w:r w:rsidRPr="00DA6962">
              <w:rPr>
                <w:rFonts w:ascii="Arial" w:hAnsi="Arial" w:cs="Arial"/>
                <w:sz w:val="20"/>
                <w:szCs w:val="20"/>
                <w:lang w:val="en-GB"/>
              </w:rPr>
              <w:t>Yes, low</w:t>
            </w:r>
          </w:p>
        </w:tc>
        <w:tc>
          <w:tcPr>
            <w:tcW w:w="1752" w:type="dxa"/>
          </w:tcPr>
          <w:p w:rsidR="00C1514B" w:rsidRPr="00DA6962" w:rsidRDefault="00C1514B" w:rsidP="00DA6962">
            <w:pPr>
              <w:jc w:val="center"/>
              <w:cnfStyle w:val="000000000000"/>
              <w:rPr>
                <w:rFonts w:ascii="Arial" w:hAnsi="Arial" w:cs="Arial"/>
                <w:sz w:val="20"/>
                <w:szCs w:val="20"/>
                <w:lang w:val="en-GB"/>
              </w:rPr>
            </w:pPr>
            <w:r w:rsidRPr="00DA6962">
              <w:rPr>
                <w:rFonts w:ascii="Arial" w:hAnsi="Arial" w:cs="Arial"/>
                <w:sz w:val="20"/>
                <w:szCs w:val="20"/>
                <w:lang w:val="en-GB"/>
              </w:rPr>
              <w:t>State / AC</w:t>
            </w:r>
          </w:p>
        </w:tc>
      </w:tr>
      <w:tr w:rsidR="00C1514B" w:rsidRPr="00DA6962" w:rsidTr="009A736C">
        <w:trPr>
          <w:cnfStyle w:val="000000100000"/>
        </w:trPr>
        <w:tc>
          <w:tcPr>
            <w:cnfStyle w:val="001000000000"/>
            <w:tcW w:w="3228" w:type="dxa"/>
          </w:tcPr>
          <w:p w:rsidR="00C1514B" w:rsidRPr="00DA6962" w:rsidRDefault="00C1514B" w:rsidP="00DA6962">
            <w:pPr>
              <w:rPr>
                <w:rFonts w:ascii="Arial" w:hAnsi="Arial" w:cs="Arial"/>
                <w:b w:val="0"/>
                <w:sz w:val="20"/>
                <w:szCs w:val="20"/>
                <w:lang w:val="en-GB"/>
              </w:rPr>
            </w:pPr>
            <w:r w:rsidRPr="00DA6962">
              <w:rPr>
                <w:rFonts w:ascii="Arial" w:hAnsi="Arial" w:cs="Arial"/>
                <w:sz w:val="20"/>
                <w:szCs w:val="20"/>
                <w:lang w:val="en-GB"/>
              </w:rPr>
              <w:t xml:space="preserve">Gambling </w:t>
            </w:r>
            <w:r w:rsidRPr="00DA6962">
              <w:rPr>
                <w:rFonts w:ascii="Arial" w:hAnsi="Arial" w:cs="Arial"/>
                <w:b w:val="0"/>
                <w:sz w:val="20"/>
                <w:szCs w:val="20"/>
                <w:lang w:val="en-GB"/>
              </w:rPr>
              <w:t>T</w:t>
            </w:r>
            <w:r w:rsidRPr="00DA6962">
              <w:rPr>
                <w:rFonts w:ascii="Arial" w:hAnsi="Arial" w:cs="Arial"/>
                <w:sz w:val="20"/>
                <w:szCs w:val="20"/>
                <w:lang w:val="en-GB"/>
              </w:rPr>
              <w:t>ax</w:t>
            </w:r>
          </w:p>
        </w:tc>
        <w:tc>
          <w:tcPr>
            <w:tcW w:w="1752" w:type="dxa"/>
          </w:tcPr>
          <w:p w:rsidR="00C1514B" w:rsidRPr="00DA6962" w:rsidRDefault="00C1514B" w:rsidP="00DA6962">
            <w:pPr>
              <w:jc w:val="center"/>
              <w:cnfStyle w:val="000000100000"/>
              <w:rPr>
                <w:rFonts w:ascii="Arial" w:hAnsi="Arial" w:cs="Arial"/>
                <w:sz w:val="20"/>
                <w:szCs w:val="20"/>
                <w:lang w:val="en-GB"/>
              </w:rPr>
            </w:pPr>
            <w:r w:rsidRPr="00DA6962">
              <w:rPr>
                <w:rFonts w:ascii="Arial" w:hAnsi="Arial" w:cs="Arial"/>
                <w:sz w:val="20"/>
                <w:szCs w:val="20"/>
                <w:lang w:val="en-GB"/>
              </w:rPr>
              <w:t>100%</w:t>
            </w:r>
          </w:p>
        </w:tc>
        <w:tc>
          <w:tcPr>
            <w:tcW w:w="1752" w:type="dxa"/>
          </w:tcPr>
          <w:p w:rsidR="00C1514B" w:rsidRPr="00DA6962" w:rsidRDefault="00C1514B" w:rsidP="00DA6962">
            <w:pPr>
              <w:jc w:val="center"/>
              <w:cnfStyle w:val="000000100000"/>
              <w:rPr>
                <w:rFonts w:ascii="Arial" w:hAnsi="Arial" w:cs="Arial"/>
                <w:sz w:val="20"/>
                <w:szCs w:val="20"/>
                <w:lang w:val="en-GB"/>
              </w:rPr>
            </w:pPr>
            <w:r w:rsidRPr="00DA6962">
              <w:rPr>
                <w:rFonts w:ascii="Arial" w:hAnsi="Arial" w:cs="Arial"/>
                <w:sz w:val="20"/>
                <w:szCs w:val="20"/>
                <w:lang w:val="en-GB"/>
              </w:rPr>
              <w:t>Yes, high</w:t>
            </w:r>
          </w:p>
        </w:tc>
        <w:tc>
          <w:tcPr>
            <w:tcW w:w="1752" w:type="dxa"/>
          </w:tcPr>
          <w:p w:rsidR="00C1514B" w:rsidRPr="00DA6962" w:rsidRDefault="00C1514B" w:rsidP="00DA6962">
            <w:pPr>
              <w:jc w:val="center"/>
              <w:cnfStyle w:val="000000100000"/>
              <w:rPr>
                <w:rFonts w:ascii="Arial" w:hAnsi="Arial" w:cs="Arial"/>
                <w:sz w:val="20"/>
                <w:szCs w:val="20"/>
                <w:lang w:val="en-GB"/>
              </w:rPr>
            </w:pPr>
            <w:r w:rsidRPr="00DA6962">
              <w:rPr>
                <w:rFonts w:ascii="Arial" w:hAnsi="Arial" w:cs="Arial"/>
                <w:sz w:val="20"/>
                <w:szCs w:val="20"/>
                <w:lang w:val="en-GB"/>
              </w:rPr>
              <w:t>AC</w:t>
            </w:r>
          </w:p>
        </w:tc>
      </w:tr>
      <w:tr w:rsidR="00C1514B" w:rsidRPr="00DA6962" w:rsidTr="009A736C">
        <w:tc>
          <w:tcPr>
            <w:cnfStyle w:val="001000000000"/>
            <w:tcW w:w="3228" w:type="dxa"/>
          </w:tcPr>
          <w:p w:rsidR="00C1514B" w:rsidRPr="00DA6962" w:rsidRDefault="00C1514B" w:rsidP="00DA6962">
            <w:pPr>
              <w:rPr>
                <w:rFonts w:ascii="Arial" w:hAnsi="Arial" w:cs="Arial"/>
                <w:b w:val="0"/>
                <w:sz w:val="20"/>
                <w:szCs w:val="20"/>
                <w:lang w:val="en-GB"/>
              </w:rPr>
            </w:pPr>
            <w:r w:rsidRPr="00DA6962">
              <w:rPr>
                <w:rFonts w:ascii="Arial" w:hAnsi="Arial" w:cs="Arial"/>
                <w:sz w:val="20"/>
                <w:szCs w:val="20"/>
                <w:lang w:val="en-GB"/>
              </w:rPr>
              <w:t xml:space="preserve">Retail </w:t>
            </w:r>
            <w:r w:rsidRPr="00DA6962">
              <w:rPr>
                <w:rFonts w:ascii="Arial" w:hAnsi="Arial" w:cs="Arial"/>
                <w:b w:val="0"/>
                <w:sz w:val="20"/>
                <w:szCs w:val="20"/>
                <w:lang w:val="en-GB"/>
              </w:rPr>
              <w:t>F</w:t>
            </w:r>
            <w:r w:rsidRPr="00DA6962">
              <w:rPr>
                <w:rFonts w:ascii="Arial" w:hAnsi="Arial" w:cs="Arial"/>
                <w:sz w:val="20"/>
                <w:szCs w:val="20"/>
                <w:lang w:val="en-GB"/>
              </w:rPr>
              <w:t xml:space="preserve">uel </w:t>
            </w:r>
            <w:r w:rsidRPr="00DA6962">
              <w:rPr>
                <w:rFonts w:ascii="Arial" w:hAnsi="Arial" w:cs="Arial"/>
                <w:b w:val="0"/>
                <w:sz w:val="20"/>
                <w:szCs w:val="20"/>
                <w:lang w:val="en-GB"/>
              </w:rPr>
              <w:t>S</w:t>
            </w:r>
            <w:r w:rsidRPr="00DA6962">
              <w:rPr>
                <w:rFonts w:ascii="Arial" w:hAnsi="Arial" w:cs="Arial"/>
                <w:sz w:val="20"/>
                <w:szCs w:val="20"/>
                <w:lang w:val="en-GB"/>
              </w:rPr>
              <w:t>ales</w:t>
            </w:r>
            <w:r w:rsidRPr="00DA6962">
              <w:rPr>
                <w:rFonts w:ascii="Arial" w:hAnsi="Arial" w:cs="Arial"/>
                <w:b w:val="0"/>
                <w:sz w:val="20"/>
                <w:szCs w:val="20"/>
                <w:lang w:val="en-GB"/>
              </w:rPr>
              <w:t xml:space="preserve"> Tax</w:t>
            </w:r>
          </w:p>
        </w:tc>
        <w:tc>
          <w:tcPr>
            <w:tcW w:w="1752" w:type="dxa"/>
          </w:tcPr>
          <w:p w:rsidR="00C1514B" w:rsidRPr="00DA6962" w:rsidRDefault="00C1514B" w:rsidP="00DA6962">
            <w:pPr>
              <w:jc w:val="center"/>
              <w:cnfStyle w:val="000000000000"/>
              <w:rPr>
                <w:rFonts w:ascii="Arial" w:hAnsi="Arial" w:cs="Arial"/>
                <w:sz w:val="20"/>
                <w:szCs w:val="20"/>
                <w:lang w:val="en-GB"/>
              </w:rPr>
            </w:pPr>
            <w:r w:rsidRPr="00DA6962">
              <w:rPr>
                <w:rFonts w:ascii="Arial" w:hAnsi="Arial" w:cs="Arial"/>
                <w:sz w:val="20"/>
                <w:szCs w:val="20"/>
                <w:lang w:val="en-GB"/>
              </w:rPr>
              <w:t>100%</w:t>
            </w:r>
          </w:p>
        </w:tc>
        <w:tc>
          <w:tcPr>
            <w:tcW w:w="1752" w:type="dxa"/>
          </w:tcPr>
          <w:p w:rsidR="00C1514B" w:rsidRPr="00DA6962" w:rsidRDefault="00C1514B" w:rsidP="00DA6962">
            <w:pPr>
              <w:jc w:val="center"/>
              <w:cnfStyle w:val="000000000000"/>
              <w:rPr>
                <w:rFonts w:ascii="Arial" w:hAnsi="Arial" w:cs="Arial"/>
                <w:sz w:val="20"/>
                <w:szCs w:val="20"/>
                <w:lang w:val="en-GB"/>
              </w:rPr>
            </w:pPr>
            <w:r w:rsidRPr="00DA6962">
              <w:rPr>
                <w:rFonts w:ascii="Arial" w:hAnsi="Arial" w:cs="Arial"/>
                <w:sz w:val="20"/>
                <w:szCs w:val="20"/>
                <w:lang w:val="en-GB"/>
              </w:rPr>
              <w:t>Yes, low</w:t>
            </w:r>
          </w:p>
        </w:tc>
        <w:tc>
          <w:tcPr>
            <w:tcW w:w="1752" w:type="dxa"/>
          </w:tcPr>
          <w:p w:rsidR="00C1514B" w:rsidRPr="00DA6962" w:rsidRDefault="00C1514B" w:rsidP="00DA6962">
            <w:pPr>
              <w:jc w:val="center"/>
              <w:cnfStyle w:val="000000000000"/>
              <w:rPr>
                <w:rFonts w:ascii="Arial" w:hAnsi="Arial" w:cs="Arial"/>
                <w:sz w:val="20"/>
                <w:szCs w:val="20"/>
                <w:lang w:val="en-GB"/>
              </w:rPr>
            </w:pPr>
            <w:r w:rsidRPr="00DA6962">
              <w:rPr>
                <w:rFonts w:ascii="Arial" w:hAnsi="Arial" w:cs="Arial"/>
                <w:sz w:val="20"/>
                <w:szCs w:val="20"/>
                <w:lang w:val="en-GB"/>
              </w:rPr>
              <w:t>State / AC</w:t>
            </w:r>
          </w:p>
        </w:tc>
      </w:tr>
      <w:tr w:rsidR="00C1514B" w:rsidRPr="00DA6962" w:rsidTr="009A736C">
        <w:trPr>
          <w:cnfStyle w:val="000000100000"/>
        </w:trPr>
        <w:tc>
          <w:tcPr>
            <w:cnfStyle w:val="001000000000"/>
            <w:tcW w:w="3228" w:type="dxa"/>
          </w:tcPr>
          <w:p w:rsidR="00C1514B" w:rsidRPr="00DA6962" w:rsidRDefault="00C1514B" w:rsidP="00DA6962">
            <w:pPr>
              <w:rPr>
                <w:rFonts w:ascii="Arial" w:hAnsi="Arial" w:cs="Arial"/>
                <w:b w:val="0"/>
                <w:sz w:val="20"/>
                <w:szCs w:val="20"/>
                <w:lang w:val="en-GB"/>
              </w:rPr>
            </w:pPr>
            <w:r w:rsidRPr="00DA6962">
              <w:rPr>
                <w:rFonts w:ascii="Arial" w:hAnsi="Arial" w:cs="Arial"/>
                <w:sz w:val="20"/>
                <w:szCs w:val="20"/>
                <w:lang w:val="en-GB"/>
              </w:rPr>
              <w:t xml:space="preserve">Electricity </w:t>
            </w:r>
            <w:r w:rsidRPr="00DA6962">
              <w:rPr>
                <w:rFonts w:ascii="Arial" w:hAnsi="Arial" w:cs="Arial"/>
                <w:b w:val="0"/>
                <w:sz w:val="20"/>
                <w:szCs w:val="20"/>
                <w:lang w:val="en-GB"/>
              </w:rPr>
              <w:t>T</w:t>
            </w:r>
            <w:r w:rsidRPr="00DA6962">
              <w:rPr>
                <w:rFonts w:ascii="Arial" w:hAnsi="Arial" w:cs="Arial"/>
                <w:sz w:val="20"/>
                <w:szCs w:val="20"/>
                <w:lang w:val="en-GB"/>
              </w:rPr>
              <w:t>ax</w:t>
            </w:r>
          </w:p>
        </w:tc>
        <w:tc>
          <w:tcPr>
            <w:tcW w:w="1752" w:type="dxa"/>
          </w:tcPr>
          <w:p w:rsidR="00C1514B" w:rsidRPr="00DA6962" w:rsidRDefault="00C1514B" w:rsidP="00DA6962">
            <w:pPr>
              <w:jc w:val="center"/>
              <w:cnfStyle w:val="000000100000"/>
              <w:rPr>
                <w:rFonts w:ascii="Arial" w:hAnsi="Arial" w:cs="Arial"/>
                <w:sz w:val="20"/>
                <w:szCs w:val="20"/>
                <w:lang w:val="en-GB"/>
              </w:rPr>
            </w:pPr>
            <w:r w:rsidRPr="00DA6962">
              <w:rPr>
                <w:rFonts w:ascii="Arial" w:hAnsi="Arial" w:cs="Arial"/>
                <w:sz w:val="20"/>
                <w:szCs w:val="20"/>
                <w:lang w:val="en-GB"/>
              </w:rPr>
              <w:t>100%</w:t>
            </w:r>
          </w:p>
        </w:tc>
        <w:tc>
          <w:tcPr>
            <w:tcW w:w="1752" w:type="dxa"/>
          </w:tcPr>
          <w:p w:rsidR="00C1514B" w:rsidRPr="00DA6962" w:rsidRDefault="00C1514B" w:rsidP="00DA6962">
            <w:pPr>
              <w:jc w:val="center"/>
              <w:cnfStyle w:val="000000100000"/>
              <w:rPr>
                <w:rFonts w:ascii="Arial" w:hAnsi="Arial" w:cs="Arial"/>
                <w:sz w:val="20"/>
                <w:szCs w:val="20"/>
                <w:lang w:val="en-GB"/>
              </w:rPr>
            </w:pPr>
            <w:r w:rsidRPr="00DA6962">
              <w:rPr>
                <w:rFonts w:ascii="Arial" w:hAnsi="Arial" w:cs="Arial"/>
                <w:sz w:val="20"/>
                <w:szCs w:val="20"/>
                <w:lang w:val="en-GB"/>
              </w:rPr>
              <w:t>No</w:t>
            </w:r>
          </w:p>
        </w:tc>
        <w:tc>
          <w:tcPr>
            <w:tcW w:w="1752" w:type="dxa"/>
          </w:tcPr>
          <w:p w:rsidR="00C1514B" w:rsidRPr="00DA6962" w:rsidRDefault="00C1514B" w:rsidP="00DA6962">
            <w:pPr>
              <w:jc w:val="center"/>
              <w:cnfStyle w:val="000000100000"/>
              <w:rPr>
                <w:rFonts w:ascii="Arial" w:hAnsi="Arial" w:cs="Arial"/>
                <w:sz w:val="20"/>
                <w:szCs w:val="20"/>
                <w:lang w:val="en-GB"/>
              </w:rPr>
            </w:pPr>
            <w:r w:rsidRPr="00DA6962">
              <w:rPr>
                <w:rFonts w:ascii="Arial" w:hAnsi="Arial" w:cs="Arial"/>
                <w:sz w:val="20"/>
                <w:szCs w:val="20"/>
                <w:lang w:val="en-GB"/>
              </w:rPr>
              <w:t>State</w:t>
            </w:r>
          </w:p>
        </w:tc>
      </w:tr>
    </w:tbl>
    <w:p w:rsidR="00C1514B" w:rsidRPr="00DA6962" w:rsidRDefault="00C1514B" w:rsidP="00DA6962">
      <w:pPr>
        <w:spacing w:after="0" w:line="240" w:lineRule="auto"/>
        <w:rPr>
          <w:rFonts w:ascii="Arial" w:hAnsi="Arial" w:cs="Arial"/>
          <w:sz w:val="20"/>
          <w:szCs w:val="20"/>
          <w:lang w:val="en-GB"/>
        </w:rPr>
      </w:pPr>
    </w:p>
    <w:p w:rsidR="00534C0C" w:rsidRPr="00DA6962" w:rsidRDefault="00A7447D" w:rsidP="00DA6962">
      <w:pPr>
        <w:spacing w:after="0" w:line="240" w:lineRule="auto"/>
        <w:rPr>
          <w:rFonts w:ascii="Arial" w:hAnsi="Arial" w:cs="Arial"/>
          <w:sz w:val="20"/>
          <w:szCs w:val="20"/>
          <w:lang w:val="en-GB"/>
        </w:rPr>
      </w:pPr>
      <w:r w:rsidRPr="00DA6962">
        <w:rPr>
          <w:rFonts w:ascii="Arial" w:hAnsi="Arial" w:cs="Arial"/>
          <w:sz w:val="20"/>
          <w:szCs w:val="20"/>
          <w:lang w:val="en-GB"/>
        </w:rPr>
        <w:t>Related to the equali</w:t>
      </w:r>
      <w:r w:rsidR="00C1514B" w:rsidRPr="00DA6962">
        <w:rPr>
          <w:rFonts w:ascii="Arial" w:hAnsi="Arial" w:cs="Arial"/>
          <w:sz w:val="20"/>
          <w:szCs w:val="20"/>
          <w:lang w:val="en-GB"/>
        </w:rPr>
        <w:t>s</w:t>
      </w:r>
      <w:r w:rsidRPr="00DA6962">
        <w:rPr>
          <w:rFonts w:ascii="Arial" w:hAnsi="Arial" w:cs="Arial"/>
          <w:sz w:val="20"/>
          <w:szCs w:val="20"/>
          <w:lang w:val="en-GB"/>
        </w:rPr>
        <w:t>ation mechanism,</w:t>
      </w:r>
      <w:r w:rsidR="00FE242E" w:rsidRPr="00DA6962">
        <w:rPr>
          <w:rFonts w:ascii="Arial" w:hAnsi="Arial" w:cs="Arial"/>
          <w:sz w:val="20"/>
          <w:szCs w:val="20"/>
          <w:lang w:val="en-GB"/>
        </w:rPr>
        <w:t xml:space="preserve"> the current financing system sets out </w:t>
      </w:r>
      <w:r w:rsidR="00F01BCB" w:rsidRPr="00DA6962">
        <w:rPr>
          <w:rFonts w:ascii="Arial" w:hAnsi="Arial" w:cs="Arial"/>
          <w:sz w:val="20"/>
          <w:szCs w:val="20"/>
          <w:lang w:val="en-GB"/>
        </w:rPr>
        <w:t xml:space="preserve">an important first grant called </w:t>
      </w:r>
      <w:r w:rsidR="009A736C">
        <w:rPr>
          <w:rFonts w:ascii="Arial" w:hAnsi="Arial" w:cs="Arial"/>
          <w:sz w:val="20"/>
          <w:szCs w:val="20"/>
          <w:lang w:val="en-GB"/>
        </w:rPr>
        <w:t xml:space="preserve">the </w:t>
      </w:r>
      <w:r w:rsidR="00F01BCB" w:rsidRPr="009A736C">
        <w:rPr>
          <w:rFonts w:ascii="Arial" w:hAnsi="Arial" w:cs="Arial"/>
          <w:i/>
          <w:sz w:val="20"/>
          <w:szCs w:val="20"/>
          <w:lang w:val="en-GB"/>
        </w:rPr>
        <w:t>Guarantee Fund</w:t>
      </w:r>
      <w:r w:rsidR="00F01BCB" w:rsidRPr="00DA6962">
        <w:rPr>
          <w:rFonts w:ascii="Arial" w:hAnsi="Arial" w:cs="Arial"/>
          <w:sz w:val="20"/>
          <w:szCs w:val="20"/>
          <w:lang w:val="en-GB"/>
        </w:rPr>
        <w:t xml:space="preserve">: </w:t>
      </w:r>
    </w:p>
    <w:p w:rsidR="00C1514B" w:rsidRPr="00DA6962" w:rsidRDefault="00C1514B" w:rsidP="00DA6962">
      <w:pPr>
        <w:spacing w:after="0" w:line="240" w:lineRule="auto"/>
        <w:rPr>
          <w:rFonts w:ascii="Arial" w:hAnsi="Arial" w:cs="Arial"/>
          <w:sz w:val="20"/>
          <w:szCs w:val="20"/>
          <w:lang w:val="en-GB"/>
        </w:rPr>
      </w:pPr>
    </w:p>
    <w:p w:rsidR="00330C23" w:rsidRPr="00DA6962" w:rsidRDefault="00330C23" w:rsidP="00DA6962">
      <w:pPr>
        <w:pStyle w:val="ListParagraph"/>
        <w:numPr>
          <w:ilvl w:val="0"/>
          <w:numId w:val="6"/>
        </w:numPr>
        <w:spacing w:after="0" w:line="240" w:lineRule="auto"/>
        <w:jc w:val="both"/>
        <w:rPr>
          <w:rFonts w:ascii="Arial" w:hAnsi="Arial" w:cs="Arial"/>
          <w:sz w:val="20"/>
          <w:szCs w:val="20"/>
          <w:lang w:val="en-GB"/>
        </w:rPr>
      </w:pPr>
      <w:r w:rsidRPr="00DA6962">
        <w:rPr>
          <w:rFonts w:ascii="Arial" w:hAnsi="Arial" w:cs="Arial"/>
          <w:sz w:val="20"/>
          <w:szCs w:val="20"/>
          <w:lang w:val="en-GB"/>
        </w:rPr>
        <w:t xml:space="preserve">This is an explicit equalisation grant for essential services of the welfare state, with the aim of allowing all ACs to provide a similar level of essential welfare state services (education, health and social services) while making a similar fiscal effort. The so-called Guarantee Fund is composed by 75% of ceded taxes plus a contribution from the State. This 75% is intended to represent the weight of the welfare-state expenditure in relation to the total expenditure of the ACs. Furthermore, as ACs might have used their regulatory powers or are responsible for </w:t>
      </w:r>
      <w:r w:rsidR="009E5E1F" w:rsidRPr="00DA6962">
        <w:rPr>
          <w:rFonts w:ascii="Arial" w:hAnsi="Arial" w:cs="Arial"/>
          <w:sz w:val="20"/>
          <w:szCs w:val="20"/>
          <w:lang w:val="en-GB"/>
        </w:rPr>
        <w:t xml:space="preserve">all </w:t>
      </w:r>
      <w:r w:rsidRPr="00DA6962">
        <w:rPr>
          <w:rFonts w:ascii="Arial" w:hAnsi="Arial" w:cs="Arial"/>
          <w:sz w:val="20"/>
          <w:szCs w:val="20"/>
          <w:lang w:val="en-GB"/>
        </w:rPr>
        <w:t xml:space="preserve">collecting </w:t>
      </w:r>
      <w:r w:rsidR="00077A2C" w:rsidRPr="00DA6962">
        <w:rPr>
          <w:rFonts w:ascii="Arial" w:hAnsi="Arial" w:cs="Arial"/>
          <w:sz w:val="20"/>
          <w:szCs w:val="20"/>
          <w:lang w:val="en-GB"/>
        </w:rPr>
        <w:t xml:space="preserve">tasks regarding </w:t>
      </w:r>
      <w:r w:rsidR="009E5E1F" w:rsidRPr="00DA6962">
        <w:rPr>
          <w:rFonts w:ascii="Arial" w:hAnsi="Arial" w:cs="Arial"/>
          <w:sz w:val="20"/>
          <w:szCs w:val="20"/>
          <w:lang w:val="en-GB"/>
        </w:rPr>
        <w:t>a few</w:t>
      </w:r>
      <w:r w:rsidRPr="00DA6962">
        <w:rPr>
          <w:rFonts w:ascii="Arial" w:hAnsi="Arial" w:cs="Arial"/>
          <w:sz w:val="20"/>
          <w:szCs w:val="20"/>
          <w:lang w:val="en-GB"/>
        </w:rPr>
        <w:t xml:space="preserve"> tax</w:t>
      </w:r>
      <w:r w:rsidR="009E5E1F" w:rsidRPr="00DA6962">
        <w:rPr>
          <w:rFonts w:ascii="Arial" w:hAnsi="Arial" w:cs="Arial"/>
          <w:sz w:val="20"/>
          <w:szCs w:val="20"/>
          <w:lang w:val="en-GB"/>
        </w:rPr>
        <w:t>es</w:t>
      </w:r>
      <w:r w:rsidRPr="00DA6962">
        <w:rPr>
          <w:rFonts w:ascii="Arial" w:hAnsi="Arial" w:cs="Arial"/>
          <w:sz w:val="20"/>
          <w:szCs w:val="20"/>
          <w:lang w:val="en-GB"/>
        </w:rPr>
        <w:t xml:space="preserve">, which in turn affect their final revenues, tax revenues considered for the grant are calculated from a normative point of view. This fund represents, therefore, the total ACs’ expenditure needs that are funded. </w:t>
      </w:r>
    </w:p>
    <w:p w:rsidR="00330C23" w:rsidRPr="00DA6962" w:rsidRDefault="00330C23" w:rsidP="00DA6962">
      <w:pPr>
        <w:pStyle w:val="ListParagraph"/>
        <w:spacing w:after="0" w:line="240" w:lineRule="auto"/>
        <w:jc w:val="both"/>
        <w:rPr>
          <w:rFonts w:ascii="Arial" w:hAnsi="Arial" w:cs="Arial"/>
          <w:sz w:val="20"/>
          <w:szCs w:val="20"/>
          <w:lang w:val="en-GB"/>
        </w:rPr>
      </w:pPr>
    </w:p>
    <w:p w:rsidR="00330C23" w:rsidRPr="00DA6962" w:rsidRDefault="00330C23" w:rsidP="00DA6962">
      <w:pPr>
        <w:pStyle w:val="ListParagraph"/>
        <w:numPr>
          <w:ilvl w:val="0"/>
          <w:numId w:val="6"/>
        </w:numPr>
        <w:spacing w:after="0" w:line="240" w:lineRule="auto"/>
        <w:jc w:val="both"/>
        <w:rPr>
          <w:rFonts w:ascii="Arial" w:hAnsi="Arial" w:cs="Arial"/>
          <w:sz w:val="20"/>
          <w:szCs w:val="20"/>
          <w:lang w:val="en-GB"/>
        </w:rPr>
      </w:pPr>
      <w:r w:rsidRPr="00DA6962">
        <w:rPr>
          <w:rFonts w:ascii="Arial" w:hAnsi="Arial" w:cs="Arial"/>
          <w:sz w:val="20"/>
          <w:szCs w:val="20"/>
          <w:lang w:val="en-GB"/>
        </w:rPr>
        <w:t xml:space="preserve">The resources of the Guarantee Fund are distributed among the ACs according to different variables representing their expenditure needs. The variables and their weightings are shown in Table 2. The most important indicator of needs is </w:t>
      </w:r>
      <w:r w:rsidR="009E5E1F" w:rsidRPr="00DA6962">
        <w:rPr>
          <w:rFonts w:ascii="Arial" w:hAnsi="Arial" w:cs="Arial"/>
          <w:sz w:val="20"/>
          <w:szCs w:val="20"/>
          <w:lang w:val="en-GB"/>
        </w:rPr>
        <w:t xml:space="preserve">related to </w:t>
      </w:r>
      <w:r w:rsidRPr="00DA6962">
        <w:rPr>
          <w:rFonts w:ascii="Arial" w:hAnsi="Arial" w:cs="Arial"/>
          <w:sz w:val="20"/>
          <w:szCs w:val="20"/>
          <w:lang w:val="en-GB"/>
        </w:rPr>
        <w:t xml:space="preserve">the population, with a weight of 97%. For this reason this global indicator is known as the </w:t>
      </w:r>
      <w:r w:rsidRPr="009A736C">
        <w:rPr>
          <w:rFonts w:ascii="Arial" w:hAnsi="Arial" w:cs="Arial"/>
          <w:i/>
          <w:sz w:val="20"/>
          <w:szCs w:val="20"/>
          <w:lang w:val="en-GB"/>
        </w:rPr>
        <w:t>adjusted population</w:t>
      </w:r>
      <w:r w:rsidRPr="00DA6962">
        <w:rPr>
          <w:rFonts w:ascii="Arial" w:hAnsi="Arial" w:cs="Arial"/>
          <w:sz w:val="20"/>
          <w:szCs w:val="20"/>
          <w:lang w:val="en-GB"/>
        </w:rPr>
        <w:t>.</w:t>
      </w:r>
    </w:p>
    <w:p w:rsidR="00330C23" w:rsidRPr="00DA6962" w:rsidRDefault="00330C23" w:rsidP="00DA6962">
      <w:pPr>
        <w:pStyle w:val="ListParagraph"/>
        <w:spacing w:after="0" w:line="240" w:lineRule="auto"/>
        <w:jc w:val="both"/>
        <w:rPr>
          <w:rFonts w:ascii="Arial" w:hAnsi="Arial" w:cs="Arial"/>
          <w:sz w:val="20"/>
          <w:szCs w:val="20"/>
          <w:lang w:val="en-GB"/>
        </w:rPr>
      </w:pPr>
    </w:p>
    <w:p w:rsidR="00330C23" w:rsidRPr="00DA6962" w:rsidRDefault="00330C23" w:rsidP="00DA6962">
      <w:pPr>
        <w:pStyle w:val="ListParagraph"/>
        <w:numPr>
          <w:ilvl w:val="0"/>
          <w:numId w:val="6"/>
        </w:numPr>
        <w:spacing w:after="0" w:line="240" w:lineRule="auto"/>
        <w:jc w:val="both"/>
        <w:rPr>
          <w:rFonts w:ascii="Arial" w:hAnsi="Arial" w:cs="Arial"/>
          <w:sz w:val="20"/>
          <w:szCs w:val="20"/>
          <w:lang w:val="en-GB"/>
        </w:rPr>
      </w:pPr>
      <w:r w:rsidRPr="00DA6962">
        <w:rPr>
          <w:rFonts w:ascii="Arial" w:hAnsi="Arial" w:cs="Arial"/>
          <w:sz w:val="20"/>
          <w:szCs w:val="20"/>
          <w:lang w:val="en-GB"/>
        </w:rPr>
        <w:t xml:space="preserve">The corresponding amount from the Guarantee Fund to each AC is the difference between its respective expenditure needs and 75% of its ceded taxes (an indicator of its fiscal </w:t>
      </w:r>
      <w:r w:rsidR="00303518" w:rsidRPr="00DA6962">
        <w:rPr>
          <w:rFonts w:ascii="Arial" w:hAnsi="Arial" w:cs="Arial"/>
          <w:sz w:val="20"/>
          <w:szCs w:val="20"/>
          <w:lang w:val="en-GB"/>
        </w:rPr>
        <w:t>ability</w:t>
      </w:r>
      <w:r w:rsidRPr="00DA6962">
        <w:rPr>
          <w:rFonts w:ascii="Arial" w:hAnsi="Arial" w:cs="Arial"/>
          <w:sz w:val="20"/>
          <w:szCs w:val="20"/>
          <w:lang w:val="en-GB"/>
        </w:rPr>
        <w:t xml:space="preserve">). </w:t>
      </w:r>
    </w:p>
    <w:p w:rsidR="00330C23" w:rsidRPr="00DA6962" w:rsidRDefault="00330C23" w:rsidP="00DA6962">
      <w:pPr>
        <w:spacing w:after="0" w:line="240" w:lineRule="auto"/>
        <w:jc w:val="both"/>
        <w:rPr>
          <w:rFonts w:ascii="Arial" w:hAnsi="Arial" w:cs="Arial"/>
          <w:sz w:val="20"/>
          <w:szCs w:val="20"/>
          <w:lang w:val="en-GB"/>
        </w:rPr>
      </w:pPr>
    </w:p>
    <w:p w:rsidR="00330C23" w:rsidRPr="00DA6962" w:rsidRDefault="00330C23" w:rsidP="00DA6962">
      <w:pPr>
        <w:spacing w:after="0" w:line="240" w:lineRule="auto"/>
        <w:jc w:val="both"/>
        <w:rPr>
          <w:rFonts w:ascii="Arial" w:hAnsi="Arial" w:cs="Arial"/>
          <w:sz w:val="20"/>
          <w:szCs w:val="20"/>
          <w:lang w:val="en-GB"/>
        </w:rPr>
      </w:pPr>
      <w:r w:rsidRPr="00DA6962">
        <w:rPr>
          <w:rFonts w:ascii="Arial" w:hAnsi="Arial" w:cs="Arial"/>
          <w:sz w:val="20"/>
          <w:szCs w:val="20"/>
          <w:lang w:val="en-GB"/>
        </w:rPr>
        <w:t xml:space="preserve">Therefore, the Guarantee Fund of an AC is positive when its fiscal </w:t>
      </w:r>
      <w:r w:rsidR="00303518" w:rsidRPr="00DA6962">
        <w:rPr>
          <w:rFonts w:ascii="Arial" w:hAnsi="Arial" w:cs="Arial"/>
          <w:sz w:val="20"/>
          <w:szCs w:val="20"/>
          <w:lang w:val="en-GB"/>
        </w:rPr>
        <w:t>ability</w:t>
      </w:r>
      <w:r w:rsidRPr="00DA6962">
        <w:rPr>
          <w:rFonts w:ascii="Arial" w:hAnsi="Arial" w:cs="Arial"/>
          <w:sz w:val="20"/>
          <w:szCs w:val="20"/>
          <w:lang w:val="en-GB"/>
        </w:rPr>
        <w:t xml:space="preserve"> is below its expenditure needs, but can also be negative if its fiscal </w:t>
      </w:r>
      <w:r w:rsidR="00303518" w:rsidRPr="00DA6962">
        <w:rPr>
          <w:rFonts w:ascii="Arial" w:hAnsi="Arial" w:cs="Arial"/>
          <w:sz w:val="20"/>
          <w:szCs w:val="20"/>
          <w:lang w:val="en-GB"/>
        </w:rPr>
        <w:t>ability</w:t>
      </w:r>
      <w:r w:rsidRPr="00DA6962">
        <w:rPr>
          <w:rFonts w:ascii="Arial" w:hAnsi="Arial" w:cs="Arial"/>
          <w:sz w:val="20"/>
          <w:szCs w:val="20"/>
          <w:lang w:val="en-GB"/>
        </w:rPr>
        <w:t xml:space="preserve"> is greater than its expenditure needs. It is both a vertical and a horizontal fund, and the equalisation of the fund is complete as all the ACs dispose of the same resources to provide essential welfare services. </w:t>
      </w:r>
    </w:p>
    <w:p w:rsidR="00330C23" w:rsidRPr="00DA6962" w:rsidRDefault="00330C23" w:rsidP="00DA6962">
      <w:pPr>
        <w:spacing w:after="0" w:line="240" w:lineRule="auto"/>
        <w:jc w:val="both"/>
        <w:rPr>
          <w:rFonts w:ascii="Arial" w:hAnsi="Arial" w:cs="Arial"/>
          <w:sz w:val="20"/>
          <w:szCs w:val="20"/>
          <w:lang w:val="en-GB"/>
        </w:rPr>
      </w:pPr>
    </w:p>
    <w:p w:rsidR="00330C23" w:rsidRPr="00DA6962" w:rsidRDefault="00330C23" w:rsidP="00DA6962">
      <w:pPr>
        <w:spacing w:after="0" w:line="240" w:lineRule="auto"/>
        <w:jc w:val="center"/>
        <w:rPr>
          <w:rFonts w:ascii="Arial" w:hAnsi="Arial" w:cs="Arial"/>
          <w:b/>
          <w:sz w:val="20"/>
          <w:szCs w:val="20"/>
          <w:lang w:val="en-GB"/>
        </w:rPr>
      </w:pPr>
      <w:r w:rsidRPr="00DA6962">
        <w:rPr>
          <w:rFonts w:ascii="Arial" w:hAnsi="Arial" w:cs="Arial"/>
          <w:b/>
          <w:sz w:val="20"/>
          <w:szCs w:val="20"/>
          <w:lang w:val="en-GB"/>
        </w:rPr>
        <w:t>Table 2: Indicator of needs for the common regime ACs</w:t>
      </w:r>
    </w:p>
    <w:tbl>
      <w:tblPr>
        <w:tblStyle w:val="LightShading-Accent1"/>
        <w:tblW w:w="3750" w:type="pct"/>
        <w:jc w:val="center"/>
        <w:tblLook w:val="04A0"/>
      </w:tblPr>
      <w:tblGrid>
        <w:gridCol w:w="5991"/>
        <w:gridCol w:w="1400"/>
      </w:tblGrid>
      <w:tr w:rsidR="00330C23" w:rsidRPr="00DA6962" w:rsidTr="00746267">
        <w:trPr>
          <w:cnfStyle w:val="100000000000"/>
          <w:jc w:val="center"/>
        </w:trPr>
        <w:tc>
          <w:tcPr>
            <w:cnfStyle w:val="001000000000"/>
            <w:tcW w:w="4015" w:type="dxa"/>
            <w:tcBorders>
              <w:bottom w:val="nil"/>
            </w:tcBorders>
            <w:shd w:val="clear" w:color="auto" w:fill="auto"/>
          </w:tcPr>
          <w:p w:rsidR="00330C23" w:rsidRPr="00DA6962" w:rsidRDefault="00330C23" w:rsidP="00DA6962">
            <w:pPr>
              <w:pStyle w:val="ListParagraph"/>
              <w:ind w:left="0"/>
              <w:jc w:val="both"/>
              <w:rPr>
                <w:rFonts w:ascii="Arial" w:hAnsi="Arial" w:cs="Arial"/>
                <w:b w:val="0"/>
                <w:sz w:val="20"/>
                <w:szCs w:val="20"/>
                <w:lang w:val="en-GB"/>
              </w:rPr>
            </w:pPr>
            <w:r w:rsidRPr="00DA6962">
              <w:rPr>
                <w:rFonts w:ascii="Arial" w:hAnsi="Arial" w:cs="Arial"/>
                <w:b w:val="0"/>
                <w:sz w:val="20"/>
                <w:szCs w:val="20"/>
                <w:lang w:val="en-GB"/>
              </w:rPr>
              <w:t>Resident population</w:t>
            </w:r>
          </w:p>
        </w:tc>
        <w:tc>
          <w:tcPr>
            <w:tcW w:w="938" w:type="dxa"/>
            <w:tcBorders>
              <w:bottom w:val="nil"/>
            </w:tcBorders>
            <w:shd w:val="clear" w:color="auto" w:fill="auto"/>
          </w:tcPr>
          <w:p w:rsidR="00330C23" w:rsidRPr="00DA6962" w:rsidRDefault="00330C23" w:rsidP="00DA6962">
            <w:pPr>
              <w:pStyle w:val="ListParagraph"/>
              <w:ind w:left="0"/>
              <w:jc w:val="right"/>
              <w:cnfStyle w:val="100000000000"/>
              <w:rPr>
                <w:rFonts w:ascii="Arial" w:hAnsi="Arial" w:cs="Arial"/>
                <w:b w:val="0"/>
                <w:sz w:val="20"/>
                <w:szCs w:val="20"/>
                <w:lang w:val="en-GB"/>
              </w:rPr>
            </w:pPr>
            <w:r w:rsidRPr="00DA6962">
              <w:rPr>
                <w:rFonts w:ascii="Arial" w:hAnsi="Arial" w:cs="Arial"/>
                <w:b w:val="0"/>
                <w:sz w:val="20"/>
                <w:szCs w:val="20"/>
                <w:lang w:val="en-GB"/>
              </w:rPr>
              <w:t>30.0%</w:t>
            </w:r>
          </w:p>
        </w:tc>
      </w:tr>
      <w:tr w:rsidR="00330C23" w:rsidRPr="00DA6962" w:rsidTr="00746267">
        <w:trPr>
          <w:cnfStyle w:val="000000100000"/>
          <w:jc w:val="center"/>
        </w:trPr>
        <w:tc>
          <w:tcPr>
            <w:cnfStyle w:val="001000000000"/>
            <w:tcW w:w="4015" w:type="dxa"/>
            <w:tcBorders>
              <w:top w:val="nil"/>
            </w:tcBorders>
            <w:shd w:val="clear" w:color="auto" w:fill="auto"/>
          </w:tcPr>
          <w:p w:rsidR="00330C23" w:rsidRPr="00DA6962" w:rsidRDefault="00330C23" w:rsidP="00DA6962">
            <w:pPr>
              <w:pStyle w:val="ListParagraph"/>
              <w:ind w:left="0"/>
              <w:jc w:val="both"/>
              <w:rPr>
                <w:rFonts w:ascii="Arial" w:hAnsi="Arial" w:cs="Arial"/>
                <w:b w:val="0"/>
                <w:sz w:val="20"/>
                <w:szCs w:val="20"/>
                <w:lang w:val="en-GB"/>
              </w:rPr>
            </w:pPr>
            <w:r w:rsidRPr="00DA6962">
              <w:rPr>
                <w:rFonts w:ascii="Arial" w:hAnsi="Arial" w:cs="Arial"/>
                <w:b w:val="0"/>
                <w:sz w:val="20"/>
                <w:szCs w:val="20"/>
                <w:lang w:val="en-GB"/>
              </w:rPr>
              <w:t>Protected population by age brackets</w:t>
            </w:r>
          </w:p>
        </w:tc>
        <w:tc>
          <w:tcPr>
            <w:tcW w:w="938" w:type="dxa"/>
            <w:tcBorders>
              <w:top w:val="nil"/>
            </w:tcBorders>
            <w:shd w:val="clear" w:color="auto" w:fill="auto"/>
          </w:tcPr>
          <w:p w:rsidR="00330C23" w:rsidRPr="00DA6962" w:rsidRDefault="00330C23" w:rsidP="00DA6962">
            <w:pPr>
              <w:pStyle w:val="ListParagraph"/>
              <w:ind w:left="0"/>
              <w:jc w:val="right"/>
              <w:cnfStyle w:val="000000100000"/>
              <w:rPr>
                <w:rFonts w:ascii="Arial" w:hAnsi="Arial" w:cs="Arial"/>
                <w:sz w:val="20"/>
                <w:szCs w:val="20"/>
                <w:lang w:val="en-GB"/>
              </w:rPr>
            </w:pPr>
            <w:r w:rsidRPr="00DA6962">
              <w:rPr>
                <w:rFonts w:ascii="Arial" w:hAnsi="Arial" w:cs="Arial"/>
                <w:sz w:val="20"/>
                <w:szCs w:val="20"/>
                <w:lang w:val="en-GB"/>
              </w:rPr>
              <w:t>38.0%</w:t>
            </w:r>
          </w:p>
        </w:tc>
      </w:tr>
      <w:tr w:rsidR="00330C23" w:rsidRPr="00DA6962" w:rsidTr="00746267">
        <w:trPr>
          <w:jc w:val="center"/>
        </w:trPr>
        <w:tc>
          <w:tcPr>
            <w:cnfStyle w:val="001000000000"/>
            <w:tcW w:w="4015" w:type="dxa"/>
            <w:shd w:val="clear" w:color="auto" w:fill="auto"/>
          </w:tcPr>
          <w:p w:rsidR="00330C23" w:rsidRPr="00DA6962" w:rsidRDefault="00330C23" w:rsidP="00DA6962">
            <w:pPr>
              <w:pStyle w:val="ListParagraph"/>
              <w:ind w:left="0"/>
              <w:jc w:val="both"/>
              <w:rPr>
                <w:rFonts w:ascii="Arial" w:hAnsi="Arial" w:cs="Arial"/>
                <w:b w:val="0"/>
                <w:sz w:val="20"/>
                <w:szCs w:val="20"/>
                <w:lang w:val="en-GB"/>
              </w:rPr>
            </w:pPr>
            <w:r w:rsidRPr="00DA6962">
              <w:rPr>
                <w:rFonts w:ascii="Arial" w:hAnsi="Arial" w:cs="Arial"/>
                <w:b w:val="0"/>
                <w:sz w:val="20"/>
                <w:szCs w:val="20"/>
                <w:lang w:val="en-GB"/>
              </w:rPr>
              <w:t>Population over 65 years</w:t>
            </w:r>
          </w:p>
        </w:tc>
        <w:tc>
          <w:tcPr>
            <w:tcW w:w="938" w:type="dxa"/>
            <w:shd w:val="clear" w:color="auto" w:fill="auto"/>
          </w:tcPr>
          <w:p w:rsidR="00330C23" w:rsidRPr="00DA6962" w:rsidRDefault="00330C23" w:rsidP="00DA6962">
            <w:pPr>
              <w:pStyle w:val="ListParagraph"/>
              <w:ind w:left="0"/>
              <w:jc w:val="right"/>
              <w:cnfStyle w:val="000000000000"/>
              <w:rPr>
                <w:rFonts w:ascii="Arial" w:hAnsi="Arial" w:cs="Arial"/>
                <w:sz w:val="20"/>
                <w:szCs w:val="20"/>
                <w:lang w:val="en-GB"/>
              </w:rPr>
            </w:pPr>
            <w:r w:rsidRPr="00DA6962">
              <w:rPr>
                <w:rFonts w:ascii="Arial" w:hAnsi="Arial" w:cs="Arial"/>
                <w:sz w:val="20"/>
                <w:szCs w:val="20"/>
                <w:lang w:val="en-GB"/>
              </w:rPr>
              <w:t>8.5%</w:t>
            </w:r>
          </w:p>
        </w:tc>
      </w:tr>
      <w:tr w:rsidR="00330C23" w:rsidRPr="00DA6962" w:rsidTr="00746267">
        <w:trPr>
          <w:cnfStyle w:val="000000100000"/>
          <w:jc w:val="center"/>
        </w:trPr>
        <w:tc>
          <w:tcPr>
            <w:cnfStyle w:val="001000000000"/>
            <w:tcW w:w="4015" w:type="dxa"/>
            <w:shd w:val="clear" w:color="auto" w:fill="auto"/>
          </w:tcPr>
          <w:p w:rsidR="00330C23" w:rsidRPr="00DA6962" w:rsidRDefault="00330C23" w:rsidP="00DA6962">
            <w:pPr>
              <w:pStyle w:val="ListParagraph"/>
              <w:ind w:left="0"/>
              <w:jc w:val="both"/>
              <w:rPr>
                <w:rFonts w:ascii="Arial" w:hAnsi="Arial" w:cs="Arial"/>
                <w:b w:val="0"/>
                <w:sz w:val="20"/>
                <w:szCs w:val="20"/>
                <w:lang w:val="en-GB"/>
              </w:rPr>
            </w:pPr>
            <w:r w:rsidRPr="00DA6962">
              <w:rPr>
                <w:rFonts w:ascii="Arial" w:hAnsi="Arial" w:cs="Arial"/>
                <w:b w:val="0"/>
                <w:sz w:val="20"/>
                <w:szCs w:val="20"/>
                <w:lang w:val="en-GB"/>
              </w:rPr>
              <w:t>Population between 0 and 16 years</w:t>
            </w:r>
          </w:p>
        </w:tc>
        <w:tc>
          <w:tcPr>
            <w:tcW w:w="938" w:type="dxa"/>
            <w:shd w:val="clear" w:color="auto" w:fill="auto"/>
          </w:tcPr>
          <w:p w:rsidR="00330C23" w:rsidRPr="00DA6962" w:rsidRDefault="00330C23" w:rsidP="00DA6962">
            <w:pPr>
              <w:pStyle w:val="ListParagraph"/>
              <w:ind w:left="0"/>
              <w:jc w:val="right"/>
              <w:cnfStyle w:val="000000100000"/>
              <w:rPr>
                <w:rFonts w:ascii="Arial" w:hAnsi="Arial" w:cs="Arial"/>
                <w:sz w:val="20"/>
                <w:szCs w:val="20"/>
                <w:lang w:val="en-GB"/>
              </w:rPr>
            </w:pPr>
            <w:r w:rsidRPr="00DA6962">
              <w:rPr>
                <w:rFonts w:ascii="Arial" w:hAnsi="Arial" w:cs="Arial"/>
                <w:sz w:val="20"/>
                <w:szCs w:val="20"/>
                <w:lang w:val="en-GB"/>
              </w:rPr>
              <w:t>20.5%</w:t>
            </w:r>
          </w:p>
        </w:tc>
      </w:tr>
      <w:tr w:rsidR="00330C23" w:rsidRPr="00DA6962" w:rsidTr="00746267">
        <w:trPr>
          <w:jc w:val="center"/>
        </w:trPr>
        <w:tc>
          <w:tcPr>
            <w:cnfStyle w:val="001000000000"/>
            <w:tcW w:w="4015" w:type="dxa"/>
            <w:shd w:val="clear" w:color="auto" w:fill="DAEEF3" w:themeFill="accent5" w:themeFillTint="33"/>
          </w:tcPr>
          <w:p w:rsidR="00330C23" w:rsidRPr="00DA6962" w:rsidRDefault="00330C23" w:rsidP="00DA6962">
            <w:pPr>
              <w:pStyle w:val="ListParagraph"/>
              <w:ind w:left="0"/>
              <w:jc w:val="both"/>
              <w:rPr>
                <w:rFonts w:ascii="Arial" w:hAnsi="Arial" w:cs="Arial"/>
                <w:sz w:val="20"/>
                <w:szCs w:val="20"/>
                <w:lang w:val="en-GB"/>
              </w:rPr>
            </w:pPr>
            <w:r w:rsidRPr="00DA6962">
              <w:rPr>
                <w:rFonts w:ascii="Arial" w:hAnsi="Arial" w:cs="Arial"/>
                <w:sz w:val="20"/>
                <w:szCs w:val="20"/>
                <w:lang w:val="en-GB"/>
              </w:rPr>
              <w:t>Total population variables</w:t>
            </w:r>
          </w:p>
        </w:tc>
        <w:tc>
          <w:tcPr>
            <w:tcW w:w="938" w:type="dxa"/>
            <w:shd w:val="clear" w:color="auto" w:fill="DAEEF3" w:themeFill="accent5" w:themeFillTint="33"/>
          </w:tcPr>
          <w:p w:rsidR="00330C23" w:rsidRPr="00DA6962" w:rsidRDefault="00330C23" w:rsidP="00DA6962">
            <w:pPr>
              <w:pStyle w:val="ListParagraph"/>
              <w:ind w:left="0"/>
              <w:jc w:val="right"/>
              <w:cnfStyle w:val="000000000000"/>
              <w:rPr>
                <w:rFonts w:ascii="Arial" w:hAnsi="Arial" w:cs="Arial"/>
                <w:b/>
                <w:sz w:val="20"/>
                <w:szCs w:val="20"/>
                <w:lang w:val="en-GB"/>
              </w:rPr>
            </w:pPr>
            <w:r w:rsidRPr="00DA6962">
              <w:rPr>
                <w:rFonts w:ascii="Arial" w:hAnsi="Arial" w:cs="Arial"/>
                <w:b/>
                <w:sz w:val="20"/>
                <w:szCs w:val="20"/>
                <w:lang w:val="en-GB"/>
              </w:rPr>
              <w:t>97.0%</w:t>
            </w:r>
          </w:p>
        </w:tc>
      </w:tr>
      <w:tr w:rsidR="00330C23" w:rsidRPr="00DA6962" w:rsidTr="00746267">
        <w:trPr>
          <w:cnfStyle w:val="000000100000"/>
          <w:jc w:val="center"/>
        </w:trPr>
        <w:tc>
          <w:tcPr>
            <w:cnfStyle w:val="001000000000"/>
            <w:tcW w:w="4015" w:type="dxa"/>
            <w:shd w:val="clear" w:color="auto" w:fill="auto"/>
          </w:tcPr>
          <w:p w:rsidR="00330C23" w:rsidRPr="00DA6962" w:rsidRDefault="00330C23" w:rsidP="00DA6962">
            <w:pPr>
              <w:autoSpaceDE w:val="0"/>
              <w:autoSpaceDN w:val="0"/>
              <w:adjustRightInd w:val="0"/>
              <w:jc w:val="both"/>
              <w:rPr>
                <w:rFonts w:ascii="Arial" w:hAnsi="Arial" w:cs="Arial"/>
                <w:b w:val="0"/>
                <w:sz w:val="20"/>
                <w:szCs w:val="20"/>
                <w:lang w:val="en-GB"/>
              </w:rPr>
            </w:pPr>
            <w:r w:rsidRPr="00DA6962">
              <w:rPr>
                <w:rFonts w:ascii="Arial" w:hAnsi="Arial" w:cs="Arial"/>
                <w:b w:val="0"/>
                <w:sz w:val="20"/>
                <w:szCs w:val="20"/>
                <w:lang w:val="en-GB"/>
              </w:rPr>
              <w:t xml:space="preserve">Area </w:t>
            </w:r>
          </w:p>
        </w:tc>
        <w:tc>
          <w:tcPr>
            <w:tcW w:w="938" w:type="dxa"/>
            <w:shd w:val="clear" w:color="auto" w:fill="auto"/>
          </w:tcPr>
          <w:p w:rsidR="00330C23" w:rsidRPr="00DA6962" w:rsidRDefault="00330C23" w:rsidP="00DA6962">
            <w:pPr>
              <w:pStyle w:val="ListParagraph"/>
              <w:ind w:left="0"/>
              <w:jc w:val="right"/>
              <w:cnfStyle w:val="000000100000"/>
              <w:rPr>
                <w:rFonts w:ascii="Arial" w:hAnsi="Arial" w:cs="Arial"/>
                <w:sz w:val="20"/>
                <w:szCs w:val="20"/>
                <w:lang w:val="en-GB"/>
              </w:rPr>
            </w:pPr>
            <w:r w:rsidRPr="00DA6962">
              <w:rPr>
                <w:rFonts w:ascii="Arial" w:hAnsi="Arial" w:cs="Arial"/>
                <w:sz w:val="20"/>
                <w:szCs w:val="20"/>
                <w:lang w:val="en-GB"/>
              </w:rPr>
              <w:t>1.8%</w:t>
            </w:r>
          </w:p>
        </w:tc>
      </w:tr>
      <w:tr w:rsidR="00330C23" w:rsidRPr="00DA6962" w:rsidTr="00746267">
        <w:trPr>
          <w:jc w:val="center"/>
        </w:trPr>
        <w:tc>
          <w:tcPr>
            <w:cnfStyle w:val="001000000000"/>
            <w:tcW w:w="4015" w:type="dxa"/>
            <w:shd w:val="clear" w:color="auto" w:fill="auto"/>
          </w:tcPr>
          <w:p w:rsidR="00330C23" w:rsidRPr="00DA6962" w:rsidRDefault="00330C23" w:rsidP="00DA6962">
            <w:pPr>
              <w:pStyle w:val="ListParagraph"/>
              <w:ind w:left="0"/>
              <w:jc w:val="both"/>
              <w:rPr>
                <w:rFonts w:ascii="Arial" w:hAnsi="Arial" w:cs="Arial"/>
                <w:b w:val="0"/>
                <w:sz w:val="20"/>
                <w:szCs w:val="20"/>
                <w:lang w:val="en-GB"/>
              </w:rPr>
            </w:pPr>
            <w:r w:rsidRPr="00DA6962">
              <w:rPr>
                <w:rFonts w:ascii="Arial" w:hAnsi="Arial" w:cs="Arial"/>
                <w:b w:val="0"/>
                <w:sz w:val="20"/>
                <w:szCs w:val="20"/>
                <w:lang w:val="en-GB"/>
              </w:rPr>
              <w:t>Geographic dispersion</w:t>
            </w:r>
          </w:p>
        </w:tc>
        <w:tc>
          <w:tcPr>
            <w:tcW w:w="938" w:type="dxa"/>
            <w:shd w:val="clear" w:color="auto" w:fill="auto"/>
          </w:tcPr>
          <w:p w:rsidR="00330C23" w:rsidRPr="00DA6962" w:rsidRDefault="00330C23" w:rsidP="00DA6962">
            <w:pPr>
              <w:pStyle w:val="ListParagraph"/>
              <w:ind w:left="0"/>
              <w:jc w:val="right"/>
              <w:cnfStyle w:val="000000000000"/>
              <w:rPr>
                <w:rFonts w:ascii="Arial" w:hAnsi="Arial" w:cs="Arial"/>
                <w:sz w:val="20"/>
                <w:szCs w:val="20"/>
                <w:lang w:val="en-GB"/>
              </w:rPr>
            </w:pPr>
            <w:r w:rsidRPr="00DA6962">
              <w:rPr>
                <w:rFonts w:ascii="Arial" w:hAnsi="Arial" w:cs="Arial"/>
                <w:sz w:val="20"/>
                <w:szCs w:val="20"/>
                <w:lang w:val="en-GB"/>
              </w:rPr>
              <w:t>0.6%</w:t>
            </w:r>
          </w:p>
        </w:tc>
      </w:tr>
      <w:tr w:rsidR="00330C23" w:rsidRPr="00DA6962" w:rsidTr="00746267">
        <w:trPr>
          <w:cnfStyle w:val="000000100000"/>
          <w:jc w:val="center"/>
        </w:trPr>
        <w:tc>
          <w:tcPr>
            <w:cnfStyle w:val="001000000000"/>
            <w:tcW w:w="4015" w:type="dxa"/>
            <w:shd w:val="clear" w:color="auto" w:fill="auto"/>
          </w:tcPr>
          <w:p w:rsidR="00330C23" w:rsidRPr="00DA6962" w:rsidRDefault="00330C23" w:rsidP="00DA6962">
            <w:pPr>
              <w:pStyle w:val="ListParagraph"/>
              <w:ind w:left="0"/>
              <w:jc w:val="both"/>
              <w:rPr>
                <w:rFonts w:ascii="Arial" w:hAnsi="Arial" w:cs="Arial"/>
                <w:b w:val="0"/>
                <w:sz w:val="20"/>
                <w:szCs w:val="20"/>
                <w:lang w:val="en-GB"/>
              </w:rPr>
            </w:pPr>
            <w:r w:rsidRPr="00DA6962">
              <w:rPr>
                <w:rFonts w:ascii="Arial" w:hAnsi="Arial" w:cs="Arial"/>
                <w:b w:val="0"/>
                <w:sz w:val="20"/>
                <w:szCs w:val="20"/>
                <w:lang w:val="en-GB"/>
              </w:rPr>
              <w:t xml:space="preserve">Isolation (island) </w:t>
            </w:r>
          </w:p>
        </w:tc>
        <w:tc>
          <w:tcPr>
            <w:tcW w:w="938" w:type="dxa"/>
            <w:shd w:val="clear" w:color="auto" w:fill="auto"/>
          </w:tcPr>
          <w:p w:rsidR="00330C23" w:rsidRPr="00DA6962" w:rsidRDefault="00330C23" w:rsidP="00DA6962">
            <w:pPr>
              <w:pStyle w:val="ListParagraph"/>
              <w:ind w:left="0"/>
              <w:jc w:val="right"/>
              <w:cnfStyle w:val="000000100000"/>
              <w:rPr>
                <w:rFonts w:ascii="Arial" w:hAnsi="Arial" w:cs="Arial"/>
                <w:sz w:val="20"/>
                <w:szCs w:val="20"/>
                <w:lang w:val="en-GB"/>
              </w:rPr>
            </w:pPr>
            <w:r w:rsidRPr="00DA6962">
              <w:rPr>
                <w:rFonts w:ascii="Arial" w:hAnsi="Arial" w:cs="Arial"/>
                <w:sz w:val="20"/>
                <w:szCs w:val="20"/>
                <w:lang w:val="en-GB"/>
              </w:rPr>
              <w:t>0.6%</w:t>
            </w:r>
          </w:p>
        </w:tc>
      </w:tr>
      <w:tr w:rsidR="00330C23" w:rsidRPr="00DA6962" w:rsidTr="00746267">
        <w:trPr>
          <w:jc w:val="center"/>
        </w:trPr>
        <w:tc>
          <w:tcPr>
            <w:cnfStyle w:val="001000000000"/>
            <w:tcW w:w="4015" w:type="dxa"/>
            <w:shd w:val="clear" w:color="auto" w:fill="DAEEF3" w:themeFill="accent5" w:themeFillTint="33"/>
          </w:tcPr>
          <w:p w:rsidR="00330C23" w:rsidRPr="00DA6962" w:rsidRDefault="00330C23" w:rsidP="00DA6962">
            <w:pPr>
              <w:pStyle w:val="ListParagraph"/>
              <w:ind w:left="0"/>
              <w:jc w:val="both"/>
              <w:rPr>
                <w:rFonts w:ascii="Arial" w:hAnsi="Arial" w:cs="Arial"/>
                <w:sz w:val="20"/>
                <w:szCs w:val="20"/>
                <w:lang w:val="en-GB"/>
              </w:rPr>
            </w:pPr>
            <w:r w:rsidRPr="00DA6962">
              <w:rPr>
                <w:rFonts w:ascii="Arial" w:hAnsi="Arial" w:cs="Arial"/>
                <w:sz w:val="20"/>
                <w:szCs w:val="20"/>
                <w:lang w:val="en-GB"/>
              </w:rPr>
              <w:t>Total non-population variables</w:t>
            </w:r>
          </w:p>
        </w:tc>
        <w:tc>
          <w:tcPr>
            <w:tcW w:w="938" w:type="dxa"/>
            <w:shd w:val="clear" w:color="auto" w:fill="DAEEF3" w:themeFill="accent5" w:themeFillTint="33"/>
          </w:tcPr>
          <w:p w:rsidR="00330C23" w:rsidRPr="00DA6962" w:rsidRDefault="00330C23" w:rsidP="00DA6962">
            <w:pPr>
              <w:pStyle w:val="ListParagraph"/>
              <w:ind w:left="0"/>
              <w:jc w:val="right"/>
              <w:cnfStyle w:val="000000000000"/>
              <w:rPr>
                <w:rFonts w:ascii="Arial" w:hAnsi="Arial" w:cs="Arial"/>
                <w:sz w:val="20"/>
                <w:szCs w:val="20"/>
                <w:lang w:val="en-GB"/>
              </w:rPr>
            </w:pPr>
            <w:r w:rsidRPr="00DA6962">
              <w:rPr>
                <w:rFonts w:ascii="Arial" w:hAnsi="Arial" w:cs="Arial"/>
                <w:b/>
                <w:bCs/>
                <w:sz w:val="20"/>
                <w:szCs w:val="20"/>
                <w:lang w:val="en-GB"/>
              </w:rPr>
              <w:t>3.0%</w:t>
            </w:r>
          </w:p>
        </w:tc>
      </w:tr>
      <w:tr w:rsidR="00330C23" w:rsidRPr="00DA6962" w:rsidTr="00746267">
        <w:trPr>
          <w:cnfStyle w:val="000000100000"/>
          <w:jc w:val="center"/>
        </w:trPr>
        <w:tc>
          <w:tcPr>
            <w:cnfStyle w:val="001000000000"/>
            <w:tcW w:w="4015" w:type="dxa"/>
            <w:shd w:val="clear" w:color="auto" w:fill="DAEEF3" w:themeFill="accent5" w:themeFillTint="33"/>
          </w:tcPr>
          <w:p w:rsidR="00330C23" w:rsidRPr="00DA6962" w:rsidRDefault="00330C23" w:rsidP="00DA6962">
            <w:pPr>
              <w:pStyle w:val="ListParagraph"/>
              <w:ind w:left="0"/>
              <w:jc w:val="both"/>
              <w:rPr>
                <w:rFonts w:ascii="Arial" w:hAnsi="Arial" w:cs="Arial"/>
                <w:sz w:val="20"/>
                <w:szCs w:val="20"/>
                <w:lang w:val="en-GB"/>
              </w:rPr>
            </w:pPr>
            <w:r w:rsidRPr="00DA6962">
              <w:rPr>
                <w:rFonts w:ascii="Arial" w:hAnsi="Arial" w:cs="Arial"/>
                <w:sz w:val="20"/>
                <w:szCs w:val="20"/>
                <w:lang w:val="en-GB"/>
              </w:rPr>
              <w:t>TOTAL</w:t>
            </w:r>
          </w:p>
        </w:tc>
        <w:tc>
          <w:tcPr>
            <w:tcW w:w="938" w:type="dxa"/>
            <w:shd w:val="clear" w:color="auto" w:fill="DAEEF3" w:themeFill="accent5" w:themeFillTint="33"/>
          </w:tcPr>
          <w:p w:rsidR="00330C23" w:rsidRPr="00DA6962" w:rsidRDefault="00330C23" w:rsidP="00DA6962">
            <w:pPr>
              <w:pStyle w:val="ListParagraph"/>
              <w:ind w:left="0"/>
              <w:jc w:val="right"/>
              <w:cnfStyle w:val="000000100000"/>
              <w:rPr>
                <w:rFonts w:ascii="Arial" w:hAnsi="Arial" w:cs="Arial"/>
                <w:b/>
                <w:sz w:val="20"/>
                <w:szCs w:val="20"/>
                <w:lang w:val="en-GB"/>
              </w:rPr>
            </w:pPr>
            <w:r w:rsidRPr="00DA6962">
              <w:rPr>
                <w:rFonts w:ascii="Arial" w:hAnsi="Arial" w:cs="Arial"/>
                <w:b/>
                <w:bCs/>
                <w:sz w:val="20"/>
                <w:szCs w:val="20"/>
                <w:lang w:val="en-GB"/>
              </w:rPr>
              <w:t>100.0%</w:t>
            </w:r>
          </w:p>
        </w:tc>
      </w:tr>
    </w:tbl>
    <w:p w:rsidR="00C21A5B" w:rsidRPr="00DA6962" w:rsidRDefault="00C21A5B" w:rsidP="00DA6962">
      <w:pPr>
        <w:spacing w:after="0" w:line="240" w:lineRule="auto"/>
        <w:rPr>
          <w:rFonts w:ascii="Arial" w:hAnsi="Arial" w:cs="Arial"/>
          <w:sz w:val="20"/>
          <w:szCs w:val="20"/>
          <w:lang w:val="en-GB"/>
        </w:rPr>
      </w:pPr>
    </w:p>
    <w:p w:rsidR="00A7447D" w:rsidRPr="00DA6962" w:rsidRDefault="00D525BE" w:rsidP="00DA6962">
      <w:pPr>
        <w:spacing w:after="0" w:line="240" w:lineRule="auto"/>
        <w:jc w:val="both"/>
        <w:rPr>
          <w:rFonts w:ascii="Arial" w:hAnsi="Arial" w:cs="Arial"/>
          <w:sz w:val="20"/>
          <w:szCs w:val="20"/>
          <w:lang w:val="en-GB"/>
        </w:rPr>
      </w:pPr>
      <w:r w:rsidRPr="00DA6962">
        <w:rPr>
          <w:rFonts w:ascii="Arial" w:hAnsi="Arial" w:cs="Arial"/>
          <w:sz w:val="20"/>
          <w:szCs w:val="20"/>
          <w:lang w:val="en-GB"/>
        </w:rPr>
        <w:t xml:space="preserve">In addition to the Guarantee Fund, ACs also </w:t>
      </w:r>
      <w:proofErr w:type="gramStart"/>
      <w:r w:rsidRPr="00DA6962">
        <w:rPr>
          <w:rFonts w:ascii="Arial" w:hAnsi="Arial" w:cs="Arial"/>
          <w:sz w:val="20"/>
          <w:szCs w:val="20"/>
          <w:lang w:val="en-GB"/>
        </w:rPr>
        <w:t>obtain</w:t>
      </w:r>
      <w:proofErr w:type="gramEnd"/>
      <w:r w:rsidRPr="00DA6962">
        <w:rPr>
          <w:rFonts w:ascii="Arial" w:hAnsi="Arial" w:cs="Arial"/>
          <w:sz w:val="20"/>
          <w:szCs w:val="20"/>
          <w:lang w:val="en-GB"/>
        </w:rPr>
        <w:t xml:space="preserve"> 25% of ceded taxes, which depends on the fiscal </w:t>
      </w:r>
      <w:r w:rsidR="00303518" w:rsidRPr="00DA6962">
        <w:rPr>
          <w:rFonts w:ascii="Arial" w:hAnsi="Arial" w:cs="Arial"/>
          <w:sz w:val="20"/>
          <w:szCs w:val="20"/>
          <w:lang w:val="en-GB"/>
        </w:rPr>
        <w:t>ability</w:t>
      </w:r>
      <w:r w:rsidRPr="00DA6962">
        <w:rPr>
          <w:rFonts w:ascii="Arial" w:hAnsi="Arial" w:cs="Arial"/>
          <w:sz w:val="20"/>
          <w:szCs w:val="20"/>
          <w:lang w:val="en-GB"/>
        </w:rPr>
        <w:t xml:space="preserve"> of each region. These are, therefore, non-equalised resources, which impl</w:t>
      </w:r>
      <w:r w:rsidR="00330C23" w:rsidRPr="00DA6962">
        <w:rPr>
          <w:rFonts w:ascii="Arial" w:hAnsi="Arial" w:cs="Arial"/>
          <w:sz w:val="20"/>
          <w:szCs w:val="20"/>
          <w:lang w:val="en-GB"/>
        </w:rPr>
        <w:t>y</w:t>
      </w:r>
      <w:r w:rsidRPr="00DA6962">
        <w:rPr>
          <w:rFonts w:ascii="Arial" w:hAnsi="Arial" w:cs="Arial"/>
          <w:sz w:val="20"/>
          <w:szCs w:val="20"/>
          <w:lang w:val="en-GB"/>
        </w:rPr>
        <w:t xml:space="preserve"> that overall equalisation is partial, </w:t>
      </w:r>
      <w:r w:rsidR="006509DB" w:rsidRPr="00DA6962">
        <w:rPr>
          <w:rFonts w:ascii="Arial" w:hAnsi="Arial" w:cs="Arial"/>
          <w:sz w:val="20"/>
          <w:szCs w:val="20"/>
          <w:lang w:val="en-GB"/>
        </w:rPr>
        <w:t xml:space="preserve">that is, </w:t>
      </w:r>
      <w:r w:rsidRPr="00DA6962">
        <w:rPr>
          <w:rFonts w:ascii="Arial" w:hAnsi="Arial" w:cs="Arial"/>
          <w:sz w:val="20"/>
          <w:szCs w:val="20"/>
          <w:lang w:val="en-GB"/>
        </w:rPr>
        <w:t xml:space="preserve">only complete up to 75% of resources. </w:t>
      </w:r>
    </w:p>
    <w:p w:rsidR="00D525BE" w:rsidRPr="00DA6962" w:rsidRDefault="00D525BE" w:rsidP="00DA6962">
      <w:pPr>
        <w:spacing w:after="0" w:line="240" w:lineRule="auto"/>
        <w:rPr>
          <w:rFonts w:ascii="Arial" w:hAnsi="Arial" w:cs="Arial"/>
          <w:sz w:val="20"/>
          <w:szCs w:val="20"/>
          <w:lang w:val="en-GB"/>
        </w:rPr>
      </w:pPr>
    </w:p>
    <w:p w:rsidR="00534C0C" w:rsidRPr="00DA6962" w:rsidRDefault="00D525BE" w:rsidP="00DA6962">
      <w:pPr>
        <w:spacing w:after="0" w:line="240" w:lineRule="auto"/>
        <w:rPr>
          <w:rFonts w:ascii="Arial" w:hAnsi="Arial" w:cs="Arial"/>
          <w:sz w:val="20"/>
          <w:szCs w:val="20"/>
          <w:lang w:val="en-GB"/>
        </w:rPr>
      </w:pPr>
      <w:r w:rsidRPr="00DA6962">
        <w:rPr>
          <w:rFonts w:ascii="Arial" w:hAnsi="Arial" w:cs="Arial"/>
          <w:sz w:val="20"/>
          <w:szCs w:val="20"/>
          <w:lang w:val="en-GB"/>
        </w:rPr>
        <w:t>Nonetheless, the equalisation system also sets out three other funds, called adjustment funds</w:t>
      </w:r>
      <w:r w:rsidR="00AB6CDE" w:rsidRPr="00DA6962">
        <w:rPr>
          <w:rFonts w:ascii="Arial" w:hAnsi="Arial" w:cs="Arial"/>
          <w:sz w:val="20"/>
          <w:szCs w:val="20"/>
          <w:lang w:val="en-GB"/>
        </w:rPr>
        <w:t xml:space="preserve">: </w:t>
      </w:r>
    </w:p>
    <w:p w:rsidR="00330C23" w:rsidRPr="00DA6962" w:rsidRDefault="00330C23" w:rsidP="00DA6962">
      <w:pPr>
        <w:spacing w:after="0" w:line="240" w:lineRule="auto"/>
        <w:rPr>
          <w:rFonts w:ascii="Arial" w:hAnsi="Arial" w:cs="Arial"/>
          <w:sz w:val="20"/>
          <w:szCs w:val="20"/>
          <w:lang w:val="en-GB"/>
        </w:rPr>
      </w:pPr>
    </w:p>
    <w:p w:rsidR="00330C23" w:rsidRPr="00DA6962" w:rsidRDefault="00330C23" w:rsidP="00DA6962">
      <w:pPr>
        <w:pStyle w:val="ListParagraph"/>
        <w:numPr>
          <w:ilvl w:val="0"/>
          <w:numId w:val="6"/>
        </w:numPr>
        <w:spacing w:after="0" w:line="240" w:lineRule="auto"/>
        <w:jc w:val="both"/>
        <w:rPr>
          <w:rFonts w:ascii="Arial" w:hAnsi="Arial" w:cs="Arial"/>
          <w:sz w:val="20"/>
          <w:szCs w:val="20"/>
          <w:lang w:val="en-GB"/>
        </w:rPr>
      </w:pPr>
      <w:r w:rsidRPr="00DA6962">
        <w:rPr>
          <w:rFonts w:ascii="Arial" w:hAnsi="Arial" w:cs="Arial"/>
          <w:sz w:val="20"/>
          <w:szCs w:val="20"/>
          <w:lang w:val="en-GB"/>
        </w:rPr>
        <w:lastRenderedPageBreak/>
        <w:t xml:space="preserve">The </w:t>
      </w:r>
      <w:r w:rsidRPr="009A736C">
        <w:rPr>
          <w:rFonts w:ascii="Arial" w:hAnsi="Arial" w:cs="Arial"/>
          <w:i/>
          <w:sz w:val="20"/>
          <w:szCs w:val="20"/>
          <w:lang w:val="en-GB"/>
        </w:rPr>
        <w:t>Global Sufficiency Fund</w:t>
      </w:r>
      <w:r w:rsidRPr="00DA6962">
        <w:rPr>
          <w:rFonts w:ascii="Arial" w:hAnsi="Arial" w:cs="Arial"/>
          <w:sz w:val="20"/>
          <w:szCs w:val="20"/>
          <w:lang w:val="en-GB"/>
        </w:rPr>
        <w:t xml:space="preserve"> which guarantees the “status quo” and that all ACs obtain more revenues with the new financing system compared to their previous situation. The fund can be positive but also negative if the corresponding resources according to the “status quo” are smaller than ceded taxes plus the Guarantee Fund. Therefore this fund is an element of a complete equalisation mechanism, contrary to the partial equalisation of the previous guarantee fund. </w:t>
      </w:r>
    </w:p>
    <w:p w:rsidR="00330C23" w:rsidRPr="00DA6962" w:rsidRDefault="00330C23" w:rsidP="00DA6962">
      <w:pPr>
        <w:pStyle w:val="ListParagraph"/>
        <w:spacing w:after="0" w:line="240" w:lineRule="auto"/>
        <w:jc w:val="both"/>
        <w:rPr>
          <w:rFonts w:ascii="Arial" w:hAnsi="Arial" w:cs="Arial"/>
          <w:sz w:val="20"/>
          <w:szCs w:val="20"/>
          <w:lang w:val="en-GB"/>
        </w:rPr>
      </w:pPr>
    </w:p>
    <w:p w:rsidR="00330C23" w:rsidRPr="00DA6962" w:rsidRDefault="00330C23" w:rsidP="00DA6962">
      <w:pPr>
        <w:pStyle w:val="ListParagraph"/>
        <w:numPr>
          <w:ilvl w:val="0"/>
          <w:numId w:val="6"/>
        </w:numPr>
        <w:spacing w:after="0" w:line="240" w:lineRule="auto"/>
        <w:jc w:val="both"/>
        <w:rPr>
          <w:rFonts w:ascii="Arial" w:hAnsi="Arial" w:cs="Arial"/>
          <w:sz w:val="20"/>
          <w:szCs w:val="20"/>
          <w:lang w:val="en-GB"/>
        </w:rPr>
      </w:pPr>
      <w:r w:rsidRPr="00DA6962">
        <w:rPr>
          <w:rFonts w:ascii="Arial" w:hAnsi="Arial" w:cs="Arial"/>
          <w:sz w:val="20"/>
          <w:szCs w:val="20"/>
          <w:lang w:val="en-GB"/>
        </w:rPr>
        <w:t xml:space="preserve">The </w:t>
      </w:r>
      <w:r w:rsidRPr="009A736C">
        <w:rPr>
          <w:rFonts w:ascii="Arial" w:hAnsi="Arial" w:cs="Arial"/>
          <w:i/>
          <w:sz w:val="20"/>
          <w:szCs w:val="20"/>
          <w:lang w:val="en-GB"/>
        </w:rPr>
        <w:t>Competitiveness Fund</w:t>
      </w:r>
      <w:r w:rsidRPr="00DA6962">
        <w:rPr>
          <w:rFonts w:ascii="Arial" w:hAnsi="Arial" w:cs="Arial"/>
          <w:sz w:val="20"/>
          <w:szCs w:val="20"/>
          <w:lang w:val="en-GB"/>
        </w:rPr>
        <w:t xml:space="preserve"> seeks to improve equity and efficiency by reducing the differences in financing per capita between the ACs. The beneficiaries are those ACs whose per inhabitant financing (tax revenues, Guarantee Fund and Sufficiency Fund) is below the average or that have a financing per inhabitant index that is lower than their fiscal </w:t>
      </w:r>
      <w:r w:rsidR="00303518" w:rsidRPr="00DA6962">
        <w:rPr>
          <w:rFonts w:ascii="Arial" w:hAnsi="Arial" w:cs="Arial"/>
          <w:sz w:val="20"/>
          <w:szCs w:val="20"/>
          <w:lang w:val="en-GB"/>
        </w:rPr>
        <w:t xml:space="preserve">ability </w:t>
      </w:r>
      <w:r w:rsidRPr="00DA6962">
        <w:rPr>
          <w:rFonts w:ascii="Arial" w:hAnsi="Arial" w:cs="Arial"/>
          <w:sz w:val="20"/>
          <w:szCs w:val="20"/>
          <w:lang w:val="en-GB"/>
        </w:rPr>
        <w:t>index per inhabitant. The fund is distributed among ACs’ beneficiaries on the basis of the adjusted population.</w:t>
      </w:r>
    </w:p>
    <w:p w:rsidR="00330C23" w:rsidRPr="00DA6962" w:rsidRDefault="00330C23" w:rsidP="00DA6962">
      <w:pPr>
        <w:pStyle w:val="ListParagraph"/>
        <w:spacing w:after="0" w:line="240" w:lineRule="auto"/>
        <w:rPr>
          <w:rFonts w:ascii="Arial" w:hAnsi="Arial" w:cs="Arial"/>
          <w:sz w:val="20"/>
          <w:szCs w:val="20"/>
          <w:lang w:val="en-GB"/>
        </w:rPr>
      </w:pPr>
    </w:p>
    <w:p w:rsidR="00330C23" w:rsidRPr="00DA6962" w:rsidRDefault="00330C23" w:rsidP="00DA6962">
      <w:pPr>
        <w:pStyle w:val="ListParagraph"/>
        <w:numPr>
          <w:ilvl w:val="0"/>
          <w:numId w:val="6"/>
        </w:numPr>
        <w:spacing w:after="0" w:line="240" w:lineRule="auto"/>
        <w:jc w:val="both"/>
        <w:rPr>
          <w:rFonts w:ascii="Arial" w:hAnsi="Arial" w:cs="Arial"/>
          <w:sz w:val="20"/>
          <w:szCs w:val="20"/>
          <w:lang w:val="en-GB"/>
        </w:rPr>
      </w:pPr>
      <w:r w:rsidRPr="00DA6962">
        <w:rPr>
          <w:rFonts w:ascii="Arial" w:hAnsi="Arial" w:cs="Arial"/>
          <w:sz w:val="20"/>
          <w:szCs w:val="20"/>
          <w:lang w:val="en-GB"/>
        </w:rPr>
        <w:t xml:space="preserve">Finally, the </w:t>
      </w:r>
      <w:r w:rsidRPr="009A736C">
        <w:rPr>
          <w:rFonts w:ascii="Arial" w:hAnsi="Arial" w:cs="Arial"/>
          <w:i/>
          <w:sz w:val="20"/>
          <w:szCs w:val="20"/>
          <w:lang w:val="en-GB"/>
        </w:rPr>
        <w:t>Cooperation Fund</w:t>
      </w:r>
      <w:r w:rsidRPr="00DA6962">
        <w:rPr>
          <w:rFonts w:ascii="Arial" w:hAnsi="Arial" w:cs="Arial"/>
          <w:sz w:val="20"/>
          <w:szCs w:val="20"/>
          <w:lang w:val="en-GB"/>
        </w:rPr>
        <w:t xml:space="preserve"> seeks to achieve regional development and stimulate regional growth and convergence in terms of income. The fund is only for ACs with low regional GDP per capital, low density of population or low population growth. The fund is distributed according to relative population and GDP disparity. </w:t>
      </w:r>
    </w:p>
    <w:p w:rsidR="009D3CA6" w:rsidRPr="00DA6962" w:rsidRDefault="009D3CA6" w:rsidP="00DA6962">
      <w:pPr>
        <w:spacing w:after="0" w:line="240" w:lineRule="auto"/>
        <w:rPr>
          <w:rFonts w:ascii="Arial" w:hAnsi="Arial" w:cs="Arial"/>
          <w:sz w:val="20"/>
          <w:szCs w:val="20"/>
          <w:lang w:val="en-GB"/>
        </w:rPr>
      </w:pPr>
    </w:p>
    <w:p w:rsidR="00961CE7" w:rsidRPr="00DA6962" w:rsidRDefault="00961CE7" w:rsidP="00DA6962">
      <w:pPr>
        <w:spacing w:after="0" w:line="240" w:lineRule="auto"/>
        <w:jc w:val="both"/>
        <w:rPr>
          <w:rFonts w:ascii="Arial" w:hAnsi="Arial" w:cs="Arial"/>
          <w:b/>
          <w:sz w:val="20"/>
          <w:szCs w:val="20"/>
          <w:lang w:val="en-GB"/>
        </w:rPr>
      </w:pPr>
      <w:r w:rsidRPr="00DA6962">
        <w:rPr>
          <w:rFonts w:ascii="Arial" w:hAnsi="Arial" w:cs="Arial"/>
          <w:b/>
          <w:sz w:val="20"/>
          <w:szCs w:val="20"/>
          <w:lang w:val="en-GB"/>
        </w:rPr>
        <w:t xml:space="preserve">Current </w:t>
      </w:r>
      <w:r w:rsidR="009A736C">
        <w:rPr>
          <w:rFonts w:ascii="Arial" w:hAnsi="Arial" w:cs="Arial"/>
          <w:b/>
          <w:sz w:val="20"/>
          <w:szCs w:val="20"/>
          <w:lang w:val="en-GB"/>
        </w:rPr>
        <w:t>S</w:t>
      </w:r>
      <w:r w:rsidRPr="00DA6962">
        <w:rPr>
          <w:rFonts w:ascii="Arial" w:hAnsi="Arial" w:cs="Arial"/>
          <w:b/>
          <w:sz w:val="20"/>
          <w:szCs w:val="20"/>
          <w:lang w:val="en-GB"/>
        </w:rPr>
        <w:t xml:space="preserve">ystem: </w:t>
      </w:r>
      <w:r w:rsidR="009A736C">
        <w:rPr>
          <w:rFonts w:ascii="Arial" w:hAnsi="Arial" w:cs="Arial"/>
          <w:b/>
          <w:sz w:val="20"/>
          <w:szCs w:val="20"/>
          <w:lang w:val="en-GB"/>
        </w:rPr>
        <w:t>A</w:t>
      </w:r>
      <w:r w:rsidRPr="00DA6962">
        <w:rPr>
          <w:rFonts w:ascii="Arial" w:hAnsi="Arial" w:cs="Arial"/>
          <w:b/>
          <w:sz w:val="20"/>
          <w:szCs w:val="20"/>
          <w:lang w:val="en-GB"/>
        </w:rPr>
        <w:t>ssessment</w:t>
      </w:r>
    </w:p>
    <w:p w:rsidR="009D3CA6" w:rsidRPr="00DA6962" w:rsidRDefault="009D3CA6" w:rsidP="00DA6962">
      <w:pPr>
        <w:spacing w:after="0" w:line="240" w:lineRule="auto"/>
        <w:rPr>
          <w:rFonts w:ascii="Arial" w:hAnsi="Arial" w:cs="Arial"/>
          <w:sz w:val="20"/>
          <w:szCs w:val="20"/>
          <w:lang w:val="en-GB"/>
        </w:rPr>
      </w:pPr>
    </w:p>
    <w:p w:rsidR="000A051D" w:rsidRPr="00DA6962" w:rsidRDefault="000A051D" w:rsidP="00DA6962">
      <w:pPr>
        <w:spacing w:after="0" w:line="240" w:lineRule="auto"/>
        <w:jc w:val="both"/>
        <w:rPr>
          <w:rFonts w:ascii="Arial" w:hAnsi="Arial" w:cs="Arial"/>
          <w:sz w:val="20"/>
          <w:szCs w:val="20"/>
          <w:lang w:val="en-GB"/>
        </w:rPr>
      </w:pPr>
      <w:r w:rsidRPr="00DA6962">
        <w:rPr>
          <w:rFonts w:ascii="Arial" w:hAnsi="Arial" w:cs="Arial"/>
          <w:sz w:val="20"/>
          <w:szCs w:val="20"/>
          <w:lang w:val="en-GB"/>
        </w:rPr>
        <w:t xml:space="preserve">The current financing system must be </w:t>
      </w:r>
      <w:r w:rsidR="009A736C">
        <w:rPr>
          <w:rFonts w:ascii="Arial" w:hAnsi="Arial" w:cs="Arial"/>
          <w:sz w:val="20"/>
          <w:szCs w:val="20"/>
          <w:lang w:val="en-GB"/>
        </w:rPr>
        <w:t>e</w:t>
      </w:r>
      <w:r w:rsidRPr="00DA6962">
        <w:rPr>
          <w:rFonts w:ascii="Arial" w:hAnsi="Arial" w:cs="Arial"/>
          <w:sz w:val="20"/>
          <w:szCs w:val="20"/>
          <w:lang w:val="en-GB"/>
        </w:rPr>
        <w:t>valu</w:t>
      </w:r>
      <w:r w:rsidR="009A736C">
        <w:rPr>
          <w:rFonts w:ascii="Arial" w:hAnsi="Arial" w:cs="Arial"/>
          <w:sz w:val="20"/>
          <w:szCs w:val="20"/>
          <w:lang w:val="en-GB"/>
        </w:rPr>
        <w:t>at</w:t>
      </w:r>
      <w:r w:rsidRPr="00DA6962">
        <w:rPr>
          <w:rFonts w:ascii="Arial" w:hAnsi="Arial" w:cs="Arial"/>
          <w:sz w:val="20"/>
          <w:szCs w:val="20"/>
          <w:lang w:val="en-GB"/>
        </w:rPr>
        <w:t>e</w:t>
      </w:r>
      <w:r w:rsidR="009A736C">
        <w:rPr>
          <w:rFonts w:ascii="Arial" w:hAnsi="Arial" w:cs="Arial"/>
          <w:sz w:val="20"/>
          <w:szCs w:val="20"/>
          <w:lang w:val="en-GB"/>
        </w:rPr>
        <w:t>d</w:t>
      </w:r>
      <w:r w:rsidRPr="00DA6962">
        <w:rPr>
          <w:rFonts w:ascii="Arial" w:hAnsi="Arial" w:cs="Arial"/>
          <w:sz w:val="20"/>
          <w:szCs w:val="20"/>
          <w:lang w:val="en-GB"/>
        </w:rPr>
        <w:t xml:space="preserve"> according to the different elements that integrate it. </w:t>
      </w:r>
    </w:p>
    <w:p w:rsidR="000A051D" w:rsidRPr="00DA6962" w:rsidRDefault="000A051D" w:rsidP="00DA6962">
      <w:pPr>
        <w:spacing w:after="0" w:line="240" w:lineRule="auto"/>
        <w:jc w:val="both"/>
        <w:rPr>
          <w:rFonts w:ascii="Arial" w:hAnsi="Arial" w:cs="Arial"/>
          <w:sz w:val="20"/>
          <w:szCs w:val="20"/>
          <w:lang w:val="en-GB"/>
        </w:rPr>
      </w:pPr>
    </w:p>
    <w:p w:rsidR="000A051D" w:rsidRPr="00DA6962" w:rsidRDefault="000A051D" w:rsidP="00DA6962">
      <w:pPr>
        <w:spacing w:after="0" w:line="240" w:lineRule="auto"/>
        <w:jc w:val="both"/>
        <w:rPr>
          <w:rFonts w:ascii="Arial" w:hAnsi="Arial" w:cs="Arial"/>
          <w:sz w:val="20"/>
          <w:szCs w:val="20"/>
          <w:lang w:val="en-GB"/>
        </w:rPr>
      </w:pPr>
      <w:r w:rsidRPr="00DA6962">
        <w:rPr>
          <w:rFonts w:ascii="Arial" w:hAnsi="Arial" w:cs="Arial"/>
          <w:sz w:val="20"/>
          <w:szCs w:val="20"/>
          <w:lang w:val="en-GB"/>
        </w:rPr>
        <w:t xml:space="preserve">Firstly, from the </w:t>
      </w:r>
      <w:r w:rsidRPr="009A736C">
        <w:rPr>
          <w:rFonts w:ascii="Arial" w:hAnsi="Arial" w:cs="Arial"/>
          <w:i/>
          <w:sz w:val="20"/>
          <w:szCs w:val="20"/>
          <w:lang w:val="en-GB"/>
        </w:rPr>
        <w:t>fiscal responsibility</w:t>
      </w:r>
      <w:r w:rsidRPr="00DA6962">
        <w:rPr>
          <w:rFonts w:ascii="Arial" w:hAnsi="Arial" w:cs="Arial"/>
          <w:sz w:val="20"/>
          <w:szCs w:val="20"/>
          <w:lang w:val="en-GB"/>
        </w:rPr>
        <w:t xml:space="preserve"> perspective, it can be positively valued, as the tax basket is composed of a high number of taxes, including those that currently represent the pillars of the Spanish taxation system. The percentage of </w:t>
      </w:r>
      <w:r w:rsidR="00AC1CEF" w:rsidRPr="00DA6962">
        <w:rPr>
          <w:rFonts w:ascii="Arial" w:hAnsi="Arial" w:cs="Arial"/>
          <w:sz w:val="20"/>
          <w:szCs w:val="20"/>
          <w:lang w:val="en-GB"/>
        </w:rPr>
        <w:t>these taxes</w:t>
      </w:r>
      <w:r w:rsidRPr="00DA6962">
        <w:rPr>
          <w:rFonts w:ascii="Arial" w:hAnsi="Arial" w:cs="Arial"/>
          <w:sz w:val="20"/>
          <w:szCs w:val="20"/>
          <w:lang w:val="en-GB"/>
        </w:rPr>
        <w:t xml:space="preserve"> over the total resources of the ACs is of 83.9% in 2010 according to the calculations completed by De la </w:t>
      </w:r>
      <w:proofErr w:type="spellStart"/>
      <w:r w:rsidRPr="00DA6962">
        <w:rPr>
          <w:rFonts w:ascii="Arial" w:hAnsi="Arial" w:cs="Arial"/>
          <w:sz w:val="20"/>
          <w:szCs w:val="20"/>
          <w:lang w:val="en-GB"/>
        </w:rPr>
        <w:t>Fuente</w:t>
      </w:r>
      <w:proofErr w:type="spellEnd"/>
      <w:r w:rsidRPr="00DA6962">
        <w:rPr>
          <w:rFonts w:ascii="Arial" w:hAnsi="Arial" w:cs="Arial"/>
          <w:sz w:val="20"/>
          <w:szCs w:val="20"/>
          <w:lang w:val="en-GB"/>
        </w:rPr>
        <w:t xml:space="preserve"> (2012)</w:t>
      </w:r>
      <w:r w:rsidR="009E5E1F" w:rsidRPr="00DA6962">
        <w:rPr>
          <w:rFonts w:ascii="Arial" w:hAnsi="Arial" w:cs="Arial"/>
          <w:sz w:val="20"/>
          <w:szCs w:val="20"/>
          <w:lang w:val="en-GB"/>
        </w:rPr>
        <w:t xml:space="preserve"> and shown in Table 3</w:t>
      </w:r>
      <w:r w:rsidRPr="00DA6962">
        <w:rPr>
          <w:rFonts w:ascii="Arial" w:hAnsi="Arial" w:cs="Arial"/>
          <w:sz w:val="20"/>
          <w:szCs w:val="20"/>
          <w:lang w:val="en-GB"/>
        </w:rPr>
        <w:t xml:space="preserve">. Nevertheless, it is important to highlight that the taxes over which the ACs hold legal power represents only 48.1% of their total resources. As expected, this value differs greatly from AC to AC according to the tax </w:t>
      </w:r>
      <w:r w:rsidR="00303518" w:rsidRPr="00DA6962">
        <w:rPr>
          <w:rFonts w:ascii="Arial" w:hAnsi="Arial" w:cs="Arial"/>
          <w:sz w:val="20"/>
          <w:szCs w:val="20"/>
          <w:lang w:val="en-GB"/>
        </w:rPr>
        <w:t xml:space="preserve">ability </w:t>
      </w:r>
      <w:r w:rsidRPr="00DA6962">
        <w:rPr>
          <w:rFonts w:ascii="Arial" w:hAnsi="Arial" w:cs="Arial"/>
          <w:sz w:val="20"/>
          <w:szCs w:val="20"/>
          <w:lang w:val="en-GB"/>
        </w:rPr>
        <w:t xml:space="preserve">of each one; nonetheless, it reflects that, in average, less than half of the revenues depend on the decisions made by the ACs. </w:t>
      </w:r>
    </w:p>
    <w:p w:rsidR="00D10F32" w:rsidRPr="00DA6962" w:rsidRDefault="00D10F32" w:rsidP="00DA6962">
      <w:pPr>
        <w:spacing w:after="0" w:line="240" w:lineRule="auto"/>
        <w:rPr>
          <w:rFonts w:ascii="Arial" w:hAnsi="Arial" w:cs="Arial"/>
          <w:sz w:val="20"/>
          <w:szCs w:val="20"/>
          <w:lang w:val="en-GB"/>
        </w:rPr>
      </w:pPr>
    </w:p>
    <w:p w:rsidR="00CD5B55" w:rsidRPr="00DA6962" w:rsidRDefault="000A051D" w:rsidP="00DA6962">
      <w:pPr>
        <w:spacing w:after="0" w:line="240" w:lineRule="auto"/>
        <w:jc w:val="both"/>
        <w:rPr>
          <w:rFonts w:ascii="Arial" w:hAnsi="Arial" w:cs="Arial"/>
          <w:sz w:val="20"/>
          <w:szCs w:val="20"/>
          <w:lang w:val="en-GB"/>
        </w:rPr>
      </w:pPr>
      <w:r w:rsidRPr="00DA6962">
        <w:rPr>
          <w:rFonts w:ascii="Arial" w:hAnsi="Arial" w:cs="Arial"/>
          <w:sz w:val="20"/>
          <w:szCs w:val="20"/>
          <w:lang w:val="en-GB"/>
        </w:rPr>
        <w:t xml:space="preserve">Nonetheless, as far as the fiscal responsibility is concerned, the result is even worse as official polls made about the role of the </w:t>
      </w:r>
      <w:proofErr w:type="spellStart"/>
      <w:r w:rsidRPr="00DA6962">
        <w:rPr>
          <w:rFonts w:ascii="Arial" w:hAnsi="Arial" w:cs="Arial"/>
          <w:sz w:val="20"/>
          <w:szCs w:val="20"/>
          <w:lang w:val="en-GB"/>
        </w:rPr>
        <w:t>ACs</w:t>
      </w:r>
      <w:proofErr w:type="spellEnd"/>
      <w:r w:rsidRPr="00DA6962">
        <w:rPr>
          <w:rFonts w:ascii="Arial" w:hAnsi="Arial" w:cs="Arial"/>
          <w:sz w:val="20"/>
          <w:szCs w:val="20"/>
          <w:lang w:val="en-GB"/>
        </w:rPr>
        <w:t xml:space="preserve"> </w:t>
      </w:r>
      <w:r w:rsidR="00E138D9" w:rsidRPr="00DA6962">
        <w:rPr>
          <w:rFonts w:ascii="Arial" w:hAnsi="Arial" w:cs="Arial"/>
          <w:sz w:val="20"/>
          <w:szCs w:val="20"/>
          <w:lang w:val="en-GB"/>
        </w:rPr>
        <w:t>(</w:t>
      </w:r>
      <w:proofErr w:type="spellStart"/>
      <w:r w:rsidR="00E138D9" w:rsidRPr="009A736C">
        <w:rPr>
          <w:rFonts w:ascii="Arial" w:hAnsi="Arial" w:cs="Arial"/>
          <w:i/>
          <w:sz w:val="20"/>
          <w:szCs w:val="20"/>
          <w:lang w:val="en-GB"/>
        </w:rPr>
        <w:t>Instituto</w:t>
      </w:r>
      <w:proofErr w:type="spellEnd"/>
      <w:r w:rsidR="00E138D9" w:rsidRPr="009A736C">
        <w:rPr>
          <w:rFonts w:ascii="Arial" w:hAnsi="Arial" w:cs="Arial"/>
          <w:i/>
          <w:sz w:val="20"/>
          <w:szCs w:val="20"/>
          <w:lang w:val="en-GB"/>
        </w:rPr>
        <w:t xml:space="preserve"> de </w:t>
      </w:r>
      <w:proofErr w:type="spellStart"/>
      <w:r w:rsidR="00E138D9" w:rsidRPr="009A736C">
        <w:rPr>
          <w:rFonts w:ascii="Arial" w:hAnsi="Arial" w:cs="Arial"/>
          <w:i/>
          <w:sz w:val="20"/>
          <w:szCs w:val="20"/>
          <w:lang w:val="en-GB"/>
        </w:rPr>
        <w:t>Estudios</w:t>
      </w:r>
      <w:proofErr w:type="spellEnd"/>
      <w:r w:rsidR="00E138D9" w:rsidRPr="009A736C">
        <w:rPr>
          <w:rFonts w:ascii="Arial" w:hAnsi="Arial" w:cs="Arial"/>
          <w:i/>
          <w:sz w:val="20"/>
          <w:szCs w:val="20"/>
          <w:lang w:val="en-GB"/>
        </w:rPr>
        <w:t xml:space="preserve"> </w:t>
      </w:r>
      <w:proofErr w:type="spellStart"/>
      <w:r w:rsidR="00E138D9" w:rsidRPr="009A736C">
        <w:rPr>
          <w:rFonts w:ascii="Arial" w:hAnsi="Arial" w:cs="Arial"/>
          <w:i/>
          <w:sz w:val="20"/>
          <w:szCs w:val="20"/>
          <w:lang w:val="en-GB"/>
        </w:rPr>
        <w:t>Fiscales</w:t>
      </w:r>
      <w:proofErr w:type="spellEnd"/>
      <w:r w:rsidR="00E138D9" w:rsidRPr="009A736C">
        <w:rPr>
          <w:rFonts w:ascii="Arial" w:hAnsi="Arial" w:cs="Arial"/>
          <w:i/>
          <w:sz w:val="20"/>
          <w:szCs w:val="20"/>
          <w:lang w:val="en-GB"/>
        </w:rPr>
        <w:t xml:space="preserve">, </w:t>
      </w:r>
      <w:proofErr w:type="spellStart"/>
      <w:r w:rsidR="00E138D9" w:rsidRPr="009A736C">
        <w:rPr>
          <w:rFonts w:ascii="Arial" w:hAnsi="Arial" w:cs="Arial"/>
          <w:i/>
          <w:sz w:val="20"/>
          <w:szCs w:val="20"/>
          <w:lang w:val="en-GB"/>
        </w:rPr>
        <w:t>Área</w:t>
      </w:r>
      <w:proofErr w:type="spellEnd"/>
      <w:r w:rsidR="00E138D9" w:rsidRPr="009A736C">
        <w:rPr>
          <w:rFonts w:ascii="Arial" w:hAnsi="Arial" w:cs="Arial"/>
          <w:i/>
          <w:sz w:val="20"/>
          <w:szCs w:val="20"/>
          <w:lang w:val="en-GB"/>
        </w:rPr>
        <w:t xml:space="preserve"> de </w:t>
      </w:r>
      <w:proofErr w:type="spellStart"/>
      <w:r w:rsidR="0055440C" w:rsidRPr="009A736C">
        <w:rPr>
          <w:rFonts w:ascii="Arial" w:hAnsi="Arial" w:cs="Arial"/>
          <w:i/>
          <w:sz w:val="20"/>
          <w:szCs w:val="20"/>
          <w:lang w:val="en-GB"/>
        </w:rPr>
        <w:t>S</w:t>
      </w:r>
      <w:r w:rsidR="00E138D9" w:rsidRPr="009A736C">
        <w:rPr>
          <w:rFonts w:ascii="Arial" w:hAnsi="Arial" w:cs="Arial"/>
          <w:i/>
          <w:sz w:val="20"/>
          <w:szCs w:val="20"/>
          <w:lang w:val="en-GB"/>
        </w:rPr>
        <w:t>ociología</w:t>
      </w:r>
      <w:proofErr w:type="spellEnd"/>
      <w:r w:rsidR="00E138D9" w:rsidRPr="009A736C">
        <w:rPr>
          <w:rFonts w:ascii="Arial" w:hAnsi="Arial" w:cs="Arial"/>
          <w:i/>
          <w:sz w:val="20"/>
          <w:szCs w:val="20"/>
          <w:lang w:val="en-GB"/>
        </w:rPr>
        <w:t xml:space="preserve"> </w:t>
      </w:r>
      <w:proofErr w:type="spellStart"/>
      <w:r w:rsidR="0055440C" w:rsidRPr="009A736C">
        <w:rPr>
          <w:rFonts w:ascii="Arial" w:hAnsi="Arial" w:cs="Arial"/>
          <w:i/>
          <w:sz w:val="20"/>
          <w:szCs w:val="20"/>
          <w:lang w:val="en-GB"/>
        </w:rPr>
        <w:t>T</w:t>
      </w:r>
      <w:r w:rsidR="00E138D9" w:rsidRPr="009A736C">
        <w:rPr>
          <w:rFonts w:ascii="Arial" w:hAnsi="Arial" w:cs="Arial"/>
          <w:i/>
          <w:sz w:val="20"/>
          <w:szCs w:val="20"/>
          <w:lang w:val="en-GB"/>
        </w:rPr>
        <w:t>ributaria</w:t>
      </w:r>
      <w:proofErr w:type="spellEnd"/>
      <w:r w:rsidR="009A736C">
        <w:rPr>
          <w:rFonts w:ascii="Arial" w:hAnsi="Arial" w:cs="Arial"/>
          <w:i/>
          <w:sz w:val="20"/>
          <w:szCs w:val="20"/>
          <w:lang w:val="en-GB"/>
        </w:rPr>
        <w:t xml:space="preserve">, </w:t>
      </w:r>
      <w:r w:rsidR="00E138D9" w:rsidRPr="00DA6962">
        <w:rPr>
          <w:rFonts w:ascii="Arial" w:hAnsi="Arial" w:cs="Arial"/>
          <w:sz w:val="20"/>
          <w:szCs w:val="20"/>
          <w:lang w:val="en-GB"/>
        </w:rPr>
        <w:t>2011)</w:t>
      </w:r>
      <w:r w:rsidR="001F3DB7" w:rsidRPr="00DA6962">
        <w:rPr>
          <w:rFonts w:ascii="Arial" w:hAnsi="Arial" w:cs="Arial"/>
          <w:sz w:val="20"/>
          <w:szCs w:val="20"/>
          <w:lang w:val="en-GB"/>
        </w:rPr>
        <w:t xml:space="preserve">, </w:t>
      </w:r>
      <w:r w:rsidRPr="00DA6962">
        <w:rPr>
          <w:rFonts w:ascii="Arial" w:hAnsi="Arial" w:cs="Arial"/>
          <w:sz w:val="20"/>
          <w:szCs w:val="20"/>
          <w:lang w:val="en-GB"/>
        </w:rPr>
        <w:t>show that yet most Spanish citizens do not know that the most significant taxes fund both the State and the ACs. Indeed, in 2010, therefore after more than 15 years of sharing the tax, only 23% of Spaniards recogni</w:t>
      </w:r>
      <w:r w:rsidR="00754CB1" w:rsidRPr="00DA6962">
        <w:rPr>
          <w:rFonts w:ascii="Arial" w:hAnsi="Arial" w:cs="Arial"/>
          <w:sz w:val="20"/>
          <w:szCs w:val="20"/>
          <w:lang w:val="en-GB"/>
        </w:rPr>
        <w:t>s</w:t>
      </w:r>
      <w:r w:rsidRPr="00DA6962">
        <w:rPr>
          <w:rFonts w:ascii="Arial" w:hAnsi="Arial" w:cs="Arial"/>
          <w:sz w:val="20"/>
          <w:szCs w:val="20"/>
          <w:lang w:val="en-GB"/>
        </w:rPr>
        <w:t xml:space="preserve">e that the personal income tax is also levied by ACs. </w:t>
      </w:r>
      <w:r w:rsidR="00CD5B55" w:rsidRPr="00DA6962">
        <w:rPr>
          <w:rFonts w:ascii="Arial" w:hAnsi="Arial" w:cs="Arial"/>
          <w:sz w:val="20"/>
          <w:szCs w:val="20"/>
          <w:lang w:val="en-GB"/>
        </w:rPr>
        <w:t>The conclusion of all this would be that it is not sufficient to grant normative powers; the manner in which the whole process is developed is also really important. If the decentralisation is not visible to the public eye, the gain in terms of fiscal responsibility will be minimal.</w:t>
      </w:r>
    </w:p>
    <w:p w:rsidR="00CD5B55" w:rsidRPr="00DA6962" w:rsidRDefault="00CD5B55" w:rsidP="00DA6962">
      <w:pPr>
        <w:spacing w:after="0" w:line="240" w:lineRule="auto"/>
        <w:rPr>
          <w:rFonts w:ascii="Arial" w:hAnsi="Arial" w:cs="Arial"/>
          <w:sz w:val="20"/>
          <w:szCs w:val="20"/>
          <w:lang w:val="en-GB"/>
        </w:rPr>
      </w:pPr>
    </w:p>
    <w:p w:rsidR="00CD5B55" w:rsidRPr="00DA6962" w:rsidRDefault="00CD5B55" w:rsidP="00DA6962">
      <w:pPr>
        <w:spacing w:after="0" w:line="240" w:lineRule="auto"/>
        <w:jc w:val="both"/>
        <w:rPr>
          <w:rFonts w:ascii="Arial" w:hAnsi="Arial" w:cs="Arial"/>
          <w:sz w:val="20"/>
          <w:szCs w:val="20"/>
          <w:lang w:val="en-GB"/>
        </w:rPr>
      </w:pPr>
      <w:r w:rsidRPr="00DA6962">
        <w:rPr>
          <w:rFonts w:ascii="Arial" w:hAnsi="Arial" w:cs="Arial"/>
          <w:sz w:val="20"/>
          <w:szCs w:val="20"/>
          <w:lang w:val="en-GB"/>
        </w:rPr>
        <w:t xml:space="preserve">Another matter to take into account refers to the equalisation mechanisms of the financing system. As one probably noticed in the previous part, the equalisation mechanism is rather complex, opaque and difficult to comprehend. The current financing system sets out for the first time </w:t>
      </w:r>
      <w:r w:rsidR="009E5E1F" w:rsidRPr="00DA6962">
        <w:rPr>
          <w:rFonts w:ascii="Arial" w:hAnsi="Arial" w:cs="Arial"/>
          <w:sz w:val="20"/>
          <w:szCs w:val="20"/>
          <w:lang w:val="en-GB"/>
        </w:rPr>
        <w:t xml:space="preserve">in Spain </w:t>
      </w:r>
      <w:r w:rsidRPr="00DA6962">
        <w:rPr>
          <w:rFonts w:ascii="Arial" w:hAnsi="Arial" w:cs="Arial"/>
          <w:sz w:val="20"/>
          <w:szCs w:val="20"/>
          <w:lang w:val="en-GB"/>
        </w:rPr>
        <w:t xml:space="preserve">an explicit criterion regarding equity which implies that 75% of all tax resources of the ACs will be subject to equalisation, in order to guarantee that all ACs can finance all expenses of the welfare system by making the same fiscal effort. The remaining 25% will not be equalised because, in theory, it will be distributed between communities according to their economic ability. Hence, until now, one can state that the system is designed by employing certain logic ground. Nonetheless, the introduction of the adjusted funds contradicts the previous argument. On one hand, the system continues to pursue the maintenance of the status quo, as all the previous system did, although this idea does not comply with the equity criterion that the own system explicitly establishes. On the other hand, given that the maintenance of the status quo would imply large disparities between the regional resources, another fund was implemented: the </w:t>
      </w:r>
      <w:proofErr w:type="spellStart"/>
      <w:r w:rsidR="009A736C">
        <w:rPr>
          <w:rFonts w:ascii="Arial" w:hAnsi="Arial" w:cs="Arial"/>
          <w:sz w:val="20"/>
          <w:szCs w:val="20"/>
          <w:lang w:val="en-GB"/>
        </w:rPr>
        <w:t>C</w:t>
      </w:r>
      <w:r w:rsidRPr="00DA6962">
        <w:rPr>
          <w:rFonts w:ascii="Arial" w:hAnsi="Arial" w:cs="Arial"/>
          <w:sz w:val="20"/>
          <w:szCs w:val="20"/>
          <w:lang w:val="en-GB"/>
        </w:rPr>
        <w:t>ompetitivity</w:t>
      </w:r>
      <w:proofErr w:type="spellEnd"/>
      <w:r w:rsidRPr="00DA6962">
        <w:rPr>
          <w:rFonts w:ascii="Arial" w:hAnsi="Arial" w:cs="Arial"/>
          <w:sz w:val="20"/>
          <w:szCs w:val="20"/>
          <w:lang w:val="en-GB"/>
        </w:rPr>
        <w:t xml:space="preserve"> </w:t>
      </w:r>
      <w:r w:rsidR="009A736C">
        <w:rPr>
          <w:rFonts w:ascii="Arial" w:hAnsi="Arial" w:cs="Arial"/>
          <w:sz w:val="20"/>
          <w:szCs w:val="20"/>
          <w:lang w:val="en-GB"/>
        </w:rPr>
        <w:t>F</w:t>
      </w:r>
      <w:r w:rsidRPr="00DA6962">
        <w:rPr>
          <w:rFonts w:ascii="Arial" w:hAnsi="Arial" w:cs="Arial"/>
          <w:sz w:val="20"/>
          <w:szCs w:val="20"/>
          <w:lang w:val="en-GB"/>
        </w:rPr>
        <w:t xml:space="preserve">und. This fund aims to reduce disparities by compensating the ACs that end up with worse financing. </w:t>
      </w:r>
      <w:r w:rsidR="009E5E1F" w:rsidRPr="00DA6962">
        <w:rPr>
          <w:rFonts w:ascii="Arial" w:hAnsi="Arial" w:cs="Arial"/>
          <w:sz w:val="20"/>
          <w:szCs w:val="20"/>
          <w:lang w:val="en-GB"/>
        </w:rPr>
        <w:t xml:space="preserve">Furthermore, </w:t>
      </w:r>
      <w:r w:rsidRPr="00DA6962">
        <w:rPr>
          <w:rFonts w:ascii="Arial" w:hAnsi="Arial" w:cs="Arial"/>
          <w:sz w:val="20"/>
          <w:szCs w:val="20"/>
          <w:lang w:val="en-GB"/>
        </w:rPr>
        <w:t xml:space="preserve">this system marks the introduction of a new fund for poorer and less developed regions, although already </w:t>
      </w:r>
      <w:r w:rsidR="009E5E1F" w:rsidRPr="00DA6962">
        <w:rPr>
          <w:rFonts w:ascii="Arial" w:hAnsi="Arial" w:cs="Arial"/>
          <w:sz w:val="20"/>
          <w:szCs w:val="20"/>
          <w:lang w:val="en-GB"/>
        </w:rPr>
        <w:t xml:space="preserve">there </w:t>
      </w:r>
      <w:r w:rsidRPr="00DA6962">
        <w:rPr>
          <w:rFonts w:ascii="Arial" w:hAnsi="Arial" w:cs="Arial"/>
          <w:sz w:val="20"/>
          <w:szCs w:val="20"/>
          <w:lang w:val="en-GB"/>
        </w:rPr>
        <w:t xml:space="preserve">is a specific fund for the economic development of less developed regions, which given this specific fund it is not contemplated in the autonomic financing system. </w:t>
      </w:r>
    </w:p>
    <w:p w:rsidR="00CD5B55" w:rsidRPr="00DA6962" w:rsidRDefault="00CD5B55" w:rsidP="00DA6962">
      <w:pPr>
        <w:spacing w:after="0" w:line="240" w:lineRule="auto"/>
        <w:jc w:val="both"/>
        <w:rPr>
          <w:rFonts w:ascii="Arial" w:hAnsi="Arial" w:cs="Arial"/>
          <w:sz w:val="20"/>
          <w:szCs w:val="20"/>
          <w:lang w:val="en-GB"/>
        </w:rPr>
      </w:pPr>
    </w:p>
    <w:p w:rsidR="00CD5B55" w:rsidRPr="00DA6962" w:rsidRDefault="00CD5B55" w:rsidP="00DA6962">
      <w:pPr>
        <w:spacing w:after="0" w:line="240" w:lineRule="auto"/>
        <w:jc w:val="both"/>
        <w:rPr>
          <w:rFonts w:ascii="Arial" w:hAnsi="Arial" w:cs="Arial"/>
          <w:sz w:val="20"/>
          <w:szCs w:val="20"/>
          <w:lang w:val="en-GB"/>
        </w:rPr>
      </w:pPr>
      <w:r w:rsidRPr="00DA6962">
        <w:rPr>
          <w:rFonts w:ascii="Arial" w:hAnsi="Arial" w:cs="Arial"/>
          <w:sz w:val="20"/>
          <w:szCs w:val="20"/>
          <w:lang w:val="en-GB"/>
        </w:rPr>
        <w:t xml:space="preserve">As it can be observed in Table 3, the final results of the financing system in 2010, its second year of application, present disparate results in regards with equity. Column 3 details the adjusted average financing per capita each AC received according to what the financing system establishes. In order to facilitate the comprehension of this value, it is presented as an index, where 100 represents the average value for all the ACs, while a value greater than 100 indicates that the community receives more resources per adjusted capita than the average and a value inferior than 100 indicates that the resources of the community are </w:t>
      </w:r>
      <w:r w:rsidRPr="00DA6962">
        <w:rPr>
          <w:rFonts w:ascii="Arial" w:hAnsi="Arial" w:cs="Arial"/>
          <w:sz w:val="20"/>
          <w:szCs w:val="20"/>
          <w:lang w:val="en-GB"/>
        </w:rPr>
        <w:lastRenderedPageBreak/>
        <w:t xml:space="preserve">below the average. The final resources of each AC proceed from its own fiscal ability (column 1) and the different grants of the equalisation system (column 2). </w:t>
      </w:r>
      <w:r w:rsidR="009E5E1F" w:rsidRPr="00DA6962">
        <w:rPr>
          <w:rFonts w:ascii="Arial" w:hAnsi="Arial" w:cs="Arial"/>
          <w:sz w:val="20"/>
          <w:szCs w:val="20"/>
          <w:lang w:val="en-GB"/>
        </w:rPr>
        <w:t xml:space="preserve">ACs </w:t>
      </w:r>
      <w:proofErr w:type="gramStart"/>
      <w:r w:rsidR="009E5E1F" w:rsidRPr="00DA6962">
        <w:rPr>
          <w:rFonts w:ascii="Arial" w:hAnsi="Arial" w:cs="Arial"/>
          <w:sz w:val="20"/>
          <w:szCs w:val="20"/>
          <w:lang w:val="en-GB"/>
        </w:rPr>
        <w:t>are</w:t>
      </w:r>
      <w:proofErr w:type="gramEnd"/>
      <w:r w:rsidR="009E5E1F" w:rsidRPr="00DA6962">
        <w:rPr>
          <w:rFonts w:ascii="Arial" w:hAnsi="Arial" w:cs="Arial"/>
          <w:sz w:val="20"/>
          <w:szCs w:val="20"/>
          <w:lang w:val="en-GB"/>
        </w:rPr>
        <w:t xml:space="preserve"> ranked from higher to smaller fiscal ability (column 1). </w:t>
      </w:r>
      <w:r w:rsidRPr="00DA6962">
        <w:rPr>
          <w:rFonts w:ascii="Arial" w:hAnsi="Arial" w:cs="Arial"/>
          <w:sz w:val="20"/>
          <w:szCs w:val="20"/>
          <w:lang w:val="en-GB"/>
        </w:rPr>
        <w:t xml:space="preserve">If the equalisation system were partial, the situation would reflect that ACs whose fiscal capacity is higher than the average, in our table from Madrid to Asturias, would also benefit from higher resources per capita and that the ranking of the ACs would remain unchanged. Consequently, Madrid should be the AC with the highest resources per capita, followed by Baleares and the rest of the ACs. Nonetheless, this circumstance does not occur. If the equalisation system were to be total, all ACs would have the same resources and the value obtained in column 3 would be 100 for all ACs. However, this circumstance does not occur either. Hence, there is not clear logic that explains the result of the system. </w:t>
      </w:r>
    </w:p>
    <w:p w:rsidR="00CD5B55" w:rsidRPr="00DA6962" w:rsidRDefault="00CD5B55" w:rsidP="00DA6962">
      <w:pPr>
        <w:spacing w:after="0" w:line="240" w:lineRule="auto"/>
        <w:jc w:val="both"/>
        <w:rPr>
          <w:rFonts w:ascii="Arial" w:hAnsi="Arial" w:cs="Arial"/>
          <w:sz w:val="20"/>
          <w:szCs w:val="20"/>
          <w:lang w:val="en-GB"/>
        </w:rPr>
      </w:pPr>
    </w:p>
    <w:p w:rsidR="00CD5B55" w:rsidRPr="00DA6962" w:rsidRDefault="00CD5B55" w:rsidP="00DA6962">
      <w:pPr>
        <w:spacing w:after="0" w:line="240" w:lineRule="auto"/>
        <w:jc w:val="both"/>
        <w:rPr>
          <w:rFonts w:ascii="Arial" w:hAnsi="Arial" w:cs="Arial"/>
          <w:sz w:val="20"/>
          <w:szCs w:val="20"/>
          <w:lang w:val="en-GB"/>
        </w:rPr>
      </w:pPr>
      <w:r w:rsidRPr="00DA6962">
        <w:rPr>
          <w:rFonts w:ascii="Arial" w:hAnsi="Arial" w:cs="Arial"/>
          <w:sz w:val="20"/>
          <w:szCs w:val="20"/>
          <w:lang w:val="en-GB"/>
        </w:rPr>
        <w:t xml:space="preserve">Rich regions, such as Cantabria and La Rioja, whose fiscal ability is above average, are greatly benefited </w:t>
      </w:r>
      <w:r w:rsidR="00C1675A" w:rsidRPr="00DA6962">
        <w:rPr>
          <w:rFonts w:ascii="Arial" w:hAnsi="Arial" w:cs="Arial"/>
          <w:sz w:val="20"/>
          <w:szCs w:val="20"/>
          <w:lang w:val="en-GB"/>
        </w:rPr>
        <w:t xml:space="preserve">from </w:t>
      </w:r>
      <w:r w:rsidRPr="00DA6962">
        <w:rPr>
          <w:rFonts w:ascii="Arial" w:hAnsi="Arial" w:cs="Arial"/>
          <w:sz w:val="20"/>
          <w:szCs w:val="20"/>
          <w:lang w:val="en-GB"/>
        </w:rPr>
        <w:t xml:space="preserve">the equalisation system. However, other rich regions such as Madrid, Baleares and Catalonia </w:t>
      </w:r>
      <w:r w:rsidR="00293D98" w:rsidRPr="00DA6962">
        <w:rPr>
          <w:rFonts w:ascii="Arial" w:hAnsi="Arial" w:cs="Arial"/>
          <w:sz w:val="20"/>
          <w:szCs w:val="20"/>
          <w:lang w:val="en-GB"/>
        </w:rPr>
        <w:t xml:space="preserve">lose resources </w:t>
      </w:r>
      <w:r w:rsidRPr="00DA6962">
        <w:rPr>
          <w:rFonts w:ascii="Arial" w:hAnsi="Arial" w:cs="Arial"/>
          <w:sz w:val="20"/>
          <w:szCs w:val="20"/>
          <w:lang w:val="en-GB"/>
        </w:rPr>
        <w:t xml:space="preserve">from the application of the equalisation system. On the other hand, poor regions, whose fiscal ability is below the average, such as </w:t>
      </w:r>
      <w:proofErr w:type="spellStart"/>
      <w:r w:rsidRPr="00DA6962">
        <w:rPr>
          <w:rFonts w:ascii="Arial" w:hAnsi="Arial" w:cs="Arial"/>
          <w:sz w:val="20"/>
          <w:szCs w:val="20"/>
          <w:lang w:val="en-GB"/>
        </w:rPr>
        <w:t>Extremadura</w:t>
      </w:r>
      <w:proofErr w:type="spellEnd"/>
      <w:r w:rsidRPr="00DA6962">
        <w:rPr>
          <w:rFonts w:ascii="Arial" w:hAnsi="Arial" w:cs="Arial"/>
          <w:sz w:val="20"/>
          <w:szCs w:val="20"/>
          <w:lang w:val="en-GB"/>
        </w:rPr>
        <w:t xml:space="preserve"> or </w:t>
      </w:r>
      <w:proofErr w:type="spellStart"/>
      <w:r w:rsidRPr="00DA6962">
        <w:rPr>
          <w:rFonts w:ascii="Arial" w:hAnsi="Arial" w:cs="Arial"/>
          <w:sz w:val="20"/>
          <w:szCs w:val="20"/>
          <w:lang w:val="en-GB"/>
        </w:rPr>
        <w:t>Castill</w:t>
      </w:r>
      <w:r w:rsidR="0055440C" w:rsidRPr="00DA6962">
        <w:rPr>
          <w:rFonts w:ascii="Arial" w:hAnsi="Arial" w:cs="Arial"/>
          <w:sz w:val="20"/>
          <w:szCs w:val="20"/>
          <w:lang w:val="en-GB"/>
        </w:rPr>
        <w:t>e</w:t>
      </w:r>
      <w:proofErr w:type="spellEnd"/>
      <w:r w:rsidR="00423ED6" w:rsidRPr="00DA6962">
        <w:rPr>
          <w:rFonts w:ascii="Arial" w:hAnsi="Arial" w:cs="Arial"/>
          <w:sz w:val="20"/>
          <w:szCs w:val="20"/>
          <w:lang w:val="en-GB"/>
        </w:rPr>
        <w:t xml:space="preserve"> and </w:t>
      </w:r>
      <w:proofErr w:type="spellStart"/>
      <w:r w:rsidRPr="00DA6962">
        <w:rPr>
          <w:rFonts w:ascii="Arial" w:hAnsi="Arial" w:cs="Arial"/>
          <w:sz w:val="20"/>
          <w:szCs w:val="20"/>
          <w:lang w:val="en-GB"/>
        </w:rPr>
        <w:t>L</w:t>
      </w:r>
      <w:r w:rsidR="00B67EB9" w:rsidRPr="00DA6962">
        <w:rPr>
          <w:rFonts w:ascii="Arial" w:hAnsi="Arial" w:cs="Arial"/>
          <w:sz w:val="20"/>
          <w:szCs w:val="20"/>
          <w:lang w:val="en-GB"/>
        </w:rPr>
        <w:t>eó</w:t>
      </w:r>
      <w:r w:rsidRPr="00DA6962">
        <w:rPr>
          <w:rFonts w:ascii="Arial" w:hAnsi="Arial" w:cs="Arial"/>
          <w:sz w:val="20"/>
          <w:szCs w:val="20"/>
          <w:lang w:val="en-GB"/>
        </w:rPr>
        <w:t>n</w:t>
      </w:r>
      <w:proofErr w:type="spellEnd"/>
      <w:r w:rsidRPr="00DA6962">
        <w:rPr>
          <w:rFonts w:ascii="Arial" w:hAnsi="Arial" w:cs="Arial"/>
          <w:sz w:val="20"/>
          <w:szCs w:val="20"/>
          <w:lang w:val="en-GB"/>
        </w:rPr>
        <w:t xml:space="preserve"> are greatly benefited by the equalisation system and, obtain final resources that are above the average. We can also encounter poor regions such as Valencia, Murcia or Andalusia, that although they benefit </w:t>
      </w:r>
      <w:r w:rsidR="00293D98" w:rsidRPr="00DA6962">
        <w:rPr>
          <w:rFonts w:ascii="Arial" w:hAnsi="Arial" w:cs="Arial"/>
          <w:sz w:val="20"/>
          <w:szCs w:val="20"/>
          <w:lang w:val="en-GB"/>
        </w:rPr>
        <w:t>from</w:t>
      </w:r>
      <w:r w:rsidRPr="00DA6962">
        <w:rPr>
          <w:rFonts w:ascii="Arial" w:hAnsi="Arial" w:cs="Arial"/>
          <w:sz w:val="20"/>
          <w:szCs w:val="20"/>
          <w:lang w:val="en-GB"/>
        </w:rPr>
        <w:t xml:space="preserve"> the equalisation system, their final per capita resources are below the average. This result is a consequence of different factors, but the maintenance of the status quo is by far the most important and influent factor.</w:t>
      </w:r>
    </w:p>
    <w:p w:rsidR="00446305" w:rsidRPr="00DA6962" w:rsidRDefault="00446305" w:rsidP="00DA6962">
      <w:pPr>
        <w:spacing w:after="0" w:line="240" w:lineRule="auto"/>
        <w:rPr>
          <w:rFonts w:ascii="Arial" w:hAnsi="Arial" w:cs="Arial"/>
          <w:sz w:val="20"/>
          <w:szCs w:val="20"/>
          <w:highlight w:val="yellow"/>
          <w:lang w:val="en-GB"/>
        </w:rPr>
      </w:pPr>
    </w:p>
    <w:p w:rsidR="00405A39" w:rsidRPr="00DA6962" w:rsidRDefault="00405A39" w:rsidP="00DA6962">
      <w:pPr>
        <w:pStyle w:val="ListParagraph"/>
        <w:keepNext/>
        <w:keepLines/>
        <w:spacing w:after="0" w:line="240" w:lineRule="auto"/>
        <w:jc w:val="center"/>
        <w:rPr>
          <w:rFonts w:ascii="Arial" w:hAnsi="Arial" w:cs="Arial"/>
          <w:b/>
          <w:sz w:val="20"/>
          <w:szCs w:val="20"/>
          <w:lang w:val="en-GB"/>
        </w:rPr>
      </w:pPr>
      <w:proofErr w:type="gramStart"/>
      <w:r w:rsidRPr="00DA6962">
        <w:rPr>
          <w:rFonts w:ascii="Arial" w:hAnsi="Arial" w:cs="Arial"/>
          <w:b/>
          <w:sz w:val="20"/>
          <w:szCs w:val="20"/>
          <w:lang w:val="en-GB"/>
        </w:rPr>
        <w:t>Table 3.</w:t>
      </w:r>
      <w:proofErr w:type="gramEnd"/>
      <w:r w:rsidRPr="00DA6962">
        <w:rPr>
          <w:rFonts w:ascii="Arial" w:hAnsi="Arial" w:cs="Arial"/>
          <w:b/>
          <w:sz w:val="20"/>
          <w:szCs w:val="20"/>
          <w:lang w:val="en-GB"/>
        </w:rPr>
        <w:t xml:space="preserve"> </w:t>
      </w:r>
      <w:proofErr w:type="gramStart"/>
      <w:r w:rsidR="0049329C" w:rsidRPr="00DA6962">
        <w:rPr>
          <w:rFonts w:ascii="Arial" w:hAnsi="Arial" w:cs="Arial"/>
          <w:b/>
          <w:sz w:val="20"/>
          <w:szCs w:val="20"/>
          <w:lang w:val="en-GB"/>
        </w:rPr>
        <w:t>Average f</w:t>
      </w:r>
      <w:r w:rsidRPr="00DA6962">
        <w:rPr>
          <w:rFonts w:ascii="Arial" w:hAnsi="Arial" w:cs="Arial"/>
          <w:b/>
          <w:sz w:val="20"/>
          <w:szCs w:val="20"/>
          <w:lang w:val="en-GB"/>
        </w:rPr>
        <w:t>inanc</w:t>
      </w:r>
      <w:r w:rsidR="0049329C" w:rsidRPr="00DA6962">
        <w:rPr>
          <w:rFonts w:ascii="Arial" w:hAnsi="Arial" w:cs="Arial"/>
          <w:b/>
          <w:sz w:val="20"/>
          <w:szCs w:val="20"/>
          <w:lang w:val="en-GB"/>
        </w:rPr>
        <w:t>ing</w:t>
      </w:r>
      <w:r w:rsidR="00754CB1" w:rsidRPr="00DA6962">
        <w:rPr>
          <w:rFonts w:ascii="Arial" w:hAnsi="Arial" w:cs="Arial"/>
          <w:b/>
          <w:sz w:val="20"/>
          <w:szCs w:val="20"/>
          <w:lang w:val="en-GB"/>
        </w:rPr>
        <w:t xml:space="preserve"> index</w:t>
      </w:r>
      <w:r w:rsidR="0049329C" w:rsidRPr="00DA6962">
        <w:rPr>
          <w:rFonts w:ascii="Arial" w:hAnsi="Arial" w:cs="Arial"/>
          <w:b/>
          <w:sz w:val="20"/>
          <w:szCs w:val="20"/>
          <w:lang w:val="en-GB"/>
        </w:rPr>
        <w:t xml:space="preserve"> per adjusted capita.</w:t>
      </w:r>
      <w:proofErr w:type="gramEnd"/>
      <w:r w:rsidR="0049329C" w:rsidRPr="00DA6962">
        <w:rPr>
          <w:rFonts w:ascii="Arial" w:hAnsi="Arial" w:cs="Arial"/>
          <w:b/>
          <w:sz w:val="20"/>
          <w:szCs w:val="20"/>
          <w:lang w:val="en-GB"/>
        </w:rPr>
        <w:t xml:space="preserve"> </w:t>
      </w:r>
      <w:r w:rsidR="00A57889" w:rsidRPr="00DA6962">
        <w:rPr>
          <w:rFonts w:ascii="Arial" w:hAnsi="Arial" w:cs="Arial"/>
          <w:b/>
          <w:sz w:val="20"/>
          <w:szCs w:val="20"/>
          <w:lang w:val="en-GB"/>
        </w:rPr>
        <w:t>2010</w:t>
      </w:r>
    </w:p>
    <w:tbl>
      <w:tblPr>
        <w:tblStyle w:val="LightShading-Accent1"/>
        <w:tblW w:w="0" w:type="auto"/>
        <w:jc w:val="center"/>
        <w:tblLook w:val="04A0"/>
      </w:tblPr>
      <w:tblGrid>
        <w:gridCol w:w="2093"/>
        <w:gridCol w:w="1625"/>
        <w:gridCol w:w="1625"/>
        <w:gridCol w:w="1626"/>
      </w:tblGrid>
      <w:tr w:rsidR="000236E9" w:rsidRPr="00DA6962" w:rsidTr="00746267">
        <w:trPr>
          <w:cnfStyle w:val="100000000000"/>
          <w:jc w:val="center"/>
        </w:trPr>
        <w:tc>
          <w:tcPr>
            <w:cnfStyle w:val="001000000000"/>
            <w:tcW w:w="2093" w:type="dxa"/>
            <w:vAlign w:val="center"/>
          </w:tcPr>
          <w:p w:rsidR="000236E9" w:rsidRPr="00DA6962" w:rsidRDefault="000236E9" w:rsidP="00DA6962">
            <w:pPr>
              <w:keepNext/>
              <w:keepLines/>
              <w:rPr>
                <w:rFonts w:ascii="Arial" w:hAnsi="Arial" w:cs="Arial"/>
                <w:sz w:val="20"/>
                <w:szCs w:val="20"/>
                <w:lang w:val="en-GB"/>
              </w:rPr>
            </w:pPr>
            <w:r w:rsidRPr="00DA6962">
              <w:rPr>
                <w:rFonts w:ascii="Arial" w:hAnsi="Arial" w:cs="Arial"/>
                <w:sz w:val="20"/>
                <w:szCs w:val="20"/>
                <w:lang w:val="en-GB"/>
              </w:rPr>
              <w:t>ACs</w:t>
            </w:r>
          </w:p>
        </w:tc>
        <w:tc>
          <w:tcPr>
            <w:tcW w:w="1625" w:type="dxa"/>
            <w:vAlign w:val="center"/>
          </w:tcPr>
          <w:p w:rsidR="00A57889" w:rsidRPr="00DA6962" w:rsidRDefault="0055440C" w:rsidP="00DA6962">
            <w:pPr>
              <w:keepNext/>
              <w:keepLines/>
              <w:jc w:val="center"/>
              <w:cnfStyle w:val="100000000000"/>
              <w:rPr>
                <w:rFonts w:ascii="Arial" w:hAnsi="Arial" w:cs="Arial"/>
                <w:sz w:val="20"/>
                <w:szCs w:val="20"/>
                <w:lang w:val="en-GB"/>
              </w:rPr>
            </w:pPr>
            <w:r w:rsidRPr="00DA6962">
              <w:rPr>
                <w:rFonts w:ascii="Arial" w:hAnsi="Arial" w:cs="Arial"/>
                <w:sz w:val="20"/>
                <w:szCs w:val="20"/>
                <w:lang w:val="en-GB"/>
              </w:rPr>
              <w:t>Homogeneous</w:t>
            </w:r>
            <w:r w:rsidR="000236E9" w:rsidRPr="00DA6962">
              <w:rPr>
                <w:rFonts w:ascii="Arial" w:hAnsi="Arial" w:cs="Arial"/>
                <w:sz w:val="20"/>
                <w:szCs w:val="20"/>
                <w:lang w:val="en-GB"/>
              </w:rPr>
              <w:t xml:space="preserve"> fiscal </w:t>
            </w:r>
            <w:r w:rsidR="00303518" w:rsidRPr="00DA6962">
              <w:rPr>
                <w:rFonts w:ascii="Arial" w:hAnsi="Arial" w:cs="Arial"/>
                <w:sz w:val="20"/>
                <w:szCs w:val="20"/>
                <w:lang w:val="en-GB"/>
              </w:rPr>
              <w:t>ability</w:t>
            </w:r>
          </w:p>
          <w:p w:rsidR="000236E9" w:rsidRPr="00DA6962" w:rsidRDefault="00A57889" w:rsidP="00DA6962">
            <w:pPr>
              <w:keepNext/>
              <w:keepLines/>
              <w:jc w:val="center"/>
              <w:cnfStyle w:val="100000000000"/>
              <w:rPr>
                <w:rFonts w:ascii="Arial" w:hAnsi="Arial" w:cs="Arial"/>
                <w:sz w:val="20"/>
                <w:szCs w:val="20"/>
                <w:lang w:val="en-GB"/>
              </w:rPr>
            </w:pPr>
            <w:r w:rsidRPr="00DA6962">
              <w:rPr>
                <w:rFonts w:ascii="Arial" w:hAnsi="Arial" w:cs="Arial"/>
                <w:sz w:val="20"/>
                <w:szCs w:val="20"/>
                <w:lang w:val="en-GB"/>
              </w:rPr>
              <w:t>(1)</w:t>
            </w:r>
          </w:p>
        </w:tc>
        <w:tc>
          <w:tcPr>
            <w:tcW w:w="1625" w:type="dxa"/>
            <w:vAlign w:val="center"/>
          </w:tcPr>
          <w:p w:rsidR="000236E9" w:rsidRPr="00DA6962" w:rsidRDefault="000236E9" w:rsidP="00DA6962">
            <w:pPr>
              <w:keepNext/>
              <w:keepLines/>
              <w:jc w:val="center"/>
              <w:cnfStyle w:val="100000000000"/>
              <w:rPr>
                <w:rFonts w:ascii="Arial" w:hAnsi="Arial" w:cs="Arial"/>
                <w:sz w:val="20"/>
                <w:szCs w:val="20"/>
                <w:lang w:val="en-GB"/>
              </w:rPr>
            </w:pPr>
            <w:r w:rsidRPr="00DA6962">
              <w:rPr>
                <w:rFonts w:ascii="Arial" w:hAnsi="Arial" w:cs="Arial"/>
                <w:sz w:val="20"/>
                <w:szCs w:val="20"/>
                <w:lang w:val="en-GB"/>
              </w:rPr>
              <w:t>Funds</w:t>
            </w:r>
          </w:p>
          <w:p w:rsidR="00746267" w:rsidRPr="00DA6962" w:rsidRDefault="00746267" w:rsidP="00DA6962">
            <w:pPr>
              <w:keepNext/>
              <w:keepLines/>
              <w:jc w:val="center"/>
              <w:cnfStyle w:val="100000000000"/>
              <w:rPr>
                <w:rFonts w:ascii="Arial" w:hAnsi="Arial" w:cs="Arial"/>
                <w:sz w:val="20"/>
                <w:szCs w:val="20"/>
                <w:lang w:val="en-GB"/>
              </w:rPr>
            </w:pPr>
          </w:p>
          <w:p w:rsidR="00A57889" w:rsidRPr="00DA6962" w:rsidRDefault="00A57889" w:rsidP="00DA6962">
            <w:pPr>
              <w:keepNext/>
              <w:keepLines/>
              <w:jc w:val="center"/>
              <w:cnfStyle w:val="100000000000"/>
              <w:rPr>
                <w:rFonts w:ascii="Arial" w:hAnsi="Arial" w:cs="Arial"/>
                <w:sz w:val="20"/>
                <w:szCs w:val="20"/>
                <w:lang w:val="en-GB"/>
              </w:rPr>
            </w:pPr>
            <w:r w:rsidRPr="00DA6962">
              <w:rPr>
                <w:rFonts w:ascii="Arial" w:hAnsi="Arial" w:cs="Arial"/>
                <w:sz w:val="20"/>
                <w:szCs w:val="20"/>
                <w:lang w:val="en-GB"/>
              </w:rPr>
              <w:t>(2)</w:t>
            </w:r>
          </w:p>
        </w:tc>
        <w:tc>
          <w:tcPr>
            <w:tcW w:w="1626" w:type="dxa"/>
            <w:vAlign w:val="center"/>
          </w:tcPr>
          <w:p w:rsidR="000236E9" w:rsidRPr="00DA6962" w:rsidRDefault="000236E9" w:rsidP="00DA6962">
            <w:pPr>
              <w:keepNext/>
              <w:keepLines/>
              <w:jc w:val="center"/>
              <w:cnfStyle w:val="100000000000"/>
              <w:rPr>
                <w:rFonts w:ascii="Arial" w:hAnsi="Arial" w:cs="Arial"/>
                <w:sz w:val="20"/>
                <w:szCs w:val="20"/>
                <w:lang w:val="en-GB"/>
              </w:rPr>
            </w:pPr>
            <w:r w:rsidRPr="00DA6962">
              <w:rPr>
                <w:rFonts w:ascii="Arial" w:hAnsi="Arial" w:cs="Arial"/>
                <w:sz w:val="20"/>
                <w:szCs w:val="20"/>
                <w:lang w:val="en-GB"/>
              </w:rPr>
              <w:t>Total resources</w:t>
            </w:r>
          </w:p>
          <w:p w:rsidR="000236E9" w:rsidRPr="00DA6962" w:rsidRDefault="00A57889" w:rsidP="00DA6962">
            <w:pPr>
              <w:keepNext/>
              <w:keepLines/>
              <w:jc w:val="center"/>
              <w:cnfStyle w:val="100000000000"/>
              <w:rPr>
                <w:rFonts w:ascii="Arial" w:hAnsi="Arial" w:cs="Arial"/>
                <w:sz w:val="20"/>
                <w:szCs w:val="20"/>
                <w:lang w:val="en-GB"/>
              </w:rPr>
            </w:pPr>
            <w:r w:rsidRPr="00DA6962">
              <w:rPr>
                <w:rFonts w:ascii="Arial" w:hAnsi="Arial" w:cs="Arial"/>
                <w:sz w:val="20"/>
                <w:szCs w:val="20"/>
                <w:lang w:val="en-GB"/>
              </w:rPr>
              <w:t>(3)</w:t>
            </w:r>
          </w:p>
        </w:tc>
      </w:tr>
      <w:tr w:rsidR="00D44D67" w:rsidRPr="00DA6962" w:rsidTr="00CD5B55">
        <w:trPr>
          <w:cnfStyle w:val="000000100000"/>
          <w:jc w:val="center"/>
        </w:trPr>
        <w:tc>
          <w:tcPr>
            <w:cnfStyle w:val="001000000000"/>
            <w:tcW w:w="2093" w:type="dxa"/>
            <w:shd w:val="clear" w:color="auto" w:fill="B6DDE8" w:themeFill="accent5" w:themeFillTint="66"/>
          </w:tcPr>
          <w:p w:rsidR="00D44D67" w:rsidRPr="00DA6962" w:rsidRDefault="00D44D67" w:rsidP="00DA6962">
            <w:pPr>
              <w:keepNext/>
              <w:keepLines/>
              <w:rPr>
                <w:rFonts w:ascii="Arial" w:hAnsi="Arial" w:cs="Arial"/>
                <w:sz w:val="20"/>
                <w:szCs w:val="20"/>
                <w:lang w:val="en-GB"/>
              </w:rPr>
            </w:pPr>
            <w:r w:rsidRPr="00DA6962">
              <w:rPr>
                <w:rFonts w:ascii="Arial" w:hAnsi="Arial" w:cs="Arial"/>
                <w:sz w:val="20"/>
                <w:szCs w:val="20"/>
                <w:lang w:val="en-GB"/>
              </w:rPr>
              <w:t>Madrid</w:t>
            </w:r>
          </w:p>
        </w:tc>
        <w:tc>
          <w:tcPr>
            <w:tcW w:w="1625" w:type="dxa"/>
            <w:shd w:val="clear" w:color="auto" w:fill="B6DDE8" w:themeFill="accent5" w:themeFillTint="66"/>
          </w:tcPr>
          <w:p w:rsidR="00D44D67" w:rsidRPr="00DA6962" w:rsidRDefault="00D44D67" w:rsidP="00DA6962">
            <w:pPr>
              <w:keepNext/>
              <w:keepLines/>
              <w:jc w:val="center"/>
              <w:cnfStyle w:val="000000100000"/>
              <w:rPr>
                <w:rFonts w:ascii="Arial" w:hAnsi="Arial" w:cs="Arial"/>
                <w:sz w:val="20"/>
                <w:szCs w:val="20"/>
                <w:lang w:val="en-GB"/>
              </w:rPr>
            </w:pPr>
            <w:r w:rsidRPr="00DA6962">
              <w:rPr>
                <w:rFonts w:ascii="Arial" w:hAnsi="Arial" w:cs="Arial"/>
                <w:sz w:val="20"/>
                <w:szCs w:val="20"/>
                <w:lang w:val="en-GB"/>
              </w:rPr>
              <w:t>120</w:t>
            </w:r>
            <w:r w:rsidR="0049329C" w:rsidRPr="00DA6962">
              <w:rPr>
                <w:rFonts w:ascii="Arial" w:hAnsi="Arial" w:cs="Arial"/>
                <w:sz w:val="20"/>
                <w:szCs w:val="20"/>
                <w:lang w:val="en-GB"/>
              </w:rPr>
              <w:t>.</w:t>
            </w:r>
            <w:r w:rsidRPr="00DA6962">
              <w:rPr>
                <w:rFonts w:ascii="Arial" w:hAnsi="Arial" w:cs="Arial"/>
                <w:sz w:val="20"/>
                <w:szCs w:val="20"/>
                <w:lang w:val="en-GB"/>
              </w:rPr>
              <w:t>3</w:t>
            </w:r>
          </w:p>
        </w:tc>
        <w:tc>
          <w:tcPr>
            <w:tcW w:w="1625" w:type="dxa"/>
            <w:shd w:val="clear" w:color="auto" w:fill="B6DDE8" w:themeFill="accent5" w:themeFillTint="66"/>
          </w:tcPr>
          <w:p w:rsidR="00D44D67" w:rsidRPr="00DA6962" w:rsidRDefault="00D44D67" w:rsidP="00DA6962">
            <w:pPr>
              <w:keepNext/>
              <w:keepLines/>
              <w:jc w:val="center"/>
              <w:cnfStyle w:val="000000100000"/>
              <w:rPr>
                <w:rFonts w:ascii="Arial" w:hAnsi="Arial" w:cs="Arial"/>
                <w:sz w:val="20"/>
                <w:szCs w:val="20"/>
                <w:lang w:val="en-GB"/>
              </w:rPr>
            </w:pPr>
            <w:r w:rsidRPr="00DA6962">
              <w:rPr>
                <w:rFonts w:ascii="Arial" w:hAnsi="Arial" w:cs="Arial"/>
                <w:sz w:val="20"/>
                <w:szCs w:val="20"/>
                <w:lang w:val="en-GB"/>
              </w:rPr>
              <w:t>-19</w:t>
            </w:r>
            <w:r w:rsidR="0049329C" w:rsidRPr="00DA6962">
              <w:rPr>
                <w:rFonts w:ascii="Arial" w:hAnsi="Arial" w:cs="Arial"/>
                <w:sz w:val="20"/>
                <w:szCs w:val="20"/>
                <w:lang w:val="en-GB"/>
              </w:rPr>
              <w:t>.</w:t>
            </w:r>
            <w:r w:rsidRPr="00DA6962">
              <w:rPr>
                <w:rFonts w:ascii="Arial" w:hAnsi="Arial" w:cs="Arial"/>
                <w:sz w:val="20"/>
                <w:szCs w:val="20"/>
                <w:lang w:val="en-GB"/>
              </w:rPr>
              <w:t>6</w:t>
            </w:r>
          </w:p>
        </w:tc>
        <w:tc>
          <w:tcPr>
            <w:tcW w:w="1626" w:type="dxa"/>
            <w:shd w:val="clear" w:color="auto" w:fill="B6DDE8" w:themeFill="accent5" w:themeFillTint="66"/>
          </w:tcPr>
          <w:p w:rsidR="00D44D67" w:rsidRPr="00DA6962" w:rsidRDefault="00D44D67" w:rsidP="00DA6962">
            <w:pPr>
              <w:keepNext/>
              <w:keepLines/>
              <w:jc w:val="center"/>
              <w:cnfStyle w:val="000000100000"/>
              <w:rPr>
                <w:rFonts w:ascii="Arial" w:hAnsi="Arial" w:cs="Arial"/>
                <w:sz w:val="20"/>
                <w:szCs w:val="20"/>
                <w:lang w:val="en-GB"/>
              </w:rPr>
            </w:pPr>
            <w:r w:rsidRPr="00DA6962">
              <w:rPr>
                <w:rFonts w:ascii="Arial" w:hAnsi="Arial" w:cs="Arial"/>
                <w:sz w:val="20"/>
                <w:szCs w:val="20"/>
                <w:lang w:val="en-GB"/>
              </w:rPr>
              <w:t>100</w:t>
            </w:r>
            <w:r w:rsidR="0049329C" w:rsidRPr="00DA6962">
              <w:rPr>
                <w:rFonts w:ascii="Arial" w:hAnsi="Arial" w:cs="Arial"/>
                <w:sz w:val="20"/>
                <w:szCs w:val="20"/>
                <w:lang w:val="en-GB"/>
              </w:rPr>
              <w:t>.</w:t>
            </w:r>
            <w:r w:rsidRPr="00DA6962">
              <w:rPr>
                <w:rFonts w:ascii="Arial" w:hAnsi="Arial" w:cs="Arial"/>
                <w:sz w:val="20"/>
                <w:szCs w:val="20"/>
                <w:lang w:val="en-GB"/>
              </w:rPr>
              <w:t>7</w:t>
            </w:r>
          </w:p>
        </w:tc>
      </w:tr>
      <w:tr w:rsidR="00D44D67" w:rsidRPr="00DA6962" w:rsidTr="00CD5B55">
        <w:trPr>
          <w:jc w:val="center"/>
        </w:trPr>
        <w:tc>
          <w:tcPr>
            <w:cnfStyle w:val="001000000000"/>
            <w:tcW w:w="2093" w:type="dxa"/>
            <w:shd w:val="clear" w:color="auto" w:fill="B6DDE8" w:themeFill="accent5" w:themeFillTint="66"/>
          </w:tcPr>
          <w:p w:rsidR="00D44D67" w:rsidRPr="00DA6962" w:rsidRDefault="00D44D67" w:rsidP="00DA6962">
            <w:pPr>
              <w:keepNext/>
              <w:keepLines/>
              <w:rPr>
                <w:rFonts w:ascii="Arial" w:hAnsi="Arial" w:cs="Arial"/>
                <w:sz w:val="20"/>
                <w:szCs w:val="20"/>
                <w:lang w:val="en-GB"/>
              </w:rPr>
            </w:pPr>
            <w:r w:rsidRPr="00DA6962">
              <w:rPr>
                <w:rFonts w:ascii="Arial" w:hAnsi="Arial" w:cs="Arial"/>
                <w:sz w:val="20"/>
                <w:szCs w:val="20"/>
                <w:lang w:val="en-GB"/>
              </w:rPr>
              <w:t>Balearic Islands</w:t>
            </w:r>
          </w:p>
        </w:tc>
        <w:tc>
          <w:tcPr>
            <w:tcW w:w="1625" w:type="dxa"/>
            <w:shd w:val="clear" w:color="auto" w:fill="B6DDE8" w:themeFill="accent5" w:themeFillTint="66"/>
          </w:tcPr>
          <w:p w:rsidR="00D44D67" w:rsidRPr="00DA6962" w:rsidRDefault="00D44D67" w:rsidP="00DA6962">
            <w:pPr>
              <w:keepNext/>
              <w:keepLines/>
              <w:jc w:val="center"/>
              <w:cnfStyle w:val="000000000000"/>
              <w:rPr>
                <w:rFonts w:ascii="Arial" w:hAnsi="Arial" w:cs="Arial"/>
                <w:sz w:val="20"/>
                <w:szCs w:val="20"/>
                <w:lang w:val="en-GB"/>
              </w:rPr>
            </w:pPr>
            <w:r w:rsidRPr="00DA6962">
              <w:rPr>
                <w:rFonts w:ascii="Arial" w:hAnsi="Arial" w:cs="Arial"/>
                <w:sz w:val="20"/>
                <w:szCs w:val="20"/>
                <w:lang w:val="en-GB"/>
              </w:rPr>
              <w:t>104</w:t>
            </w:r>
            <w:r w:rsidR="0049329C" w:rsidRPr="00DA6962">
              <w:rPr>
                <w:rFonts w:ascii="Arial" w:hAnsi="Arial" w:cs="Arial"/>
                <w:sz w:val="20"/>
                <w:szCs w:val="20"/>
                <w:lang w:val="en-GB"/>
              </w:rPr>
              <w:t>.</w:t>
            </w:r>
            <w:r w:rsidRPr="00DA6962">
              <w:rPr>
                <w:rFonts w:ascii="Arial" w:hAnsi="Arial" w:cs="Arial"/>
                <w:sz w:val="20"/>
                <w:szCs w:val="20"/>
                <w:lang w:val="en-GB"/>
              </w:rPr>
              <w:t>5</w:t>
            </w:r>
          </w:p>
        </w:tc>
        <w:tc>
          <w:tcPr>
            <w:tcW w:w="1625" w:type="dxa"/>
            <w:shd w:val="clear" w:color="auto" w:fill="B6DDE8" w:themeFill="accent5" w:themeFillTint="66"/>
          </w:tcPr>
          <w:p w:rsidR="00D44D67" w:rsidRPr="00DA6962" w:rsidRDefault="00D44D67" w:rsidP="00DA6962">
            <w:pPr>
              <w:keepNext/>
              <w:keepLines/>
              <w:jc w:val="center"/>
              <w:cnfStyle w:val="000000000000"/>
              <w:rPr>
                <w:rFonts w:ascii="Arial" w:hAnsi="Arial" w:cs="Arial"/>
                <w:sz w:val="20"/>
                <w:szCs w:val="20"/>
                <w:lang w:val="en-GB"/>
              </w:rPr>
            </w:pPr>
            <w:r w:rsidRPr="00DA6962">
              <w:rPr>
                <w:rFonts w:ascii="Arial" w:hAnsi="Arial" w:cs="Arial"/>
                <w:sz w:val="20"/>
                <w:szCs w:val="20"/>
                <w:lang w:val="en-GB"/>
              </w:rPr>
              <w:t>-2</w:t>
            </w:r>
            <w:r w:rsidR="0049329C" w:rsidRPr="00DA6962">
              <w:rPr>
                <w:rFonts w:ascii="Arial" w:hAnsi="Arial" w:cs="Arial"/>
                <w:sz w:val="20"/>
                <w:szCs w:val="20"/>
                <w:lang w:val="en-GB"/>
              </w:rPr>
              <w:t>.</w:t>
            </w:r>
            <w:r w:rsidRPr="00DA6962">
              <w:rPr>
                <w:rFonts w:ascii="Arial" w:hAnsi="Arial" w:cs="Arial"/>
                <w:sz w:val="20"/>
                <w:szCs w:val="20"/>
                <w:lang w:val="en-GB"/>
              </w:rPr>
              <w:t>1</w:t>
            </w:r>
          </w:p>
        </w:tc>
        <w:tc>
          <w:tcPr>
            <w:tcW w:w="1626" w:type="dxa"/>
            <w:shd w:val="clear" w:color="auto" w:fill="B6DDE8" w:themeFill="accent5" w:themeFillTint="66"/>
          </w:tcPr>
          <w:p w:rsidR="00D44D67" w:rsidRPr="00DA6962" w:rsidRDefault="00D44D67" w:rsidP="00DA6962">
            <w:pPr>
              <w:keepNext/>
              <w:keepLines/>
              <w:jc w:val="center"/>
              <w:cnfStyle w:val="000000000000"/>
              <w:rPr>
                <w:rFonts w:ascii="Arial" w:hAnsi="Arial" w:cs="Arial"/>
                <w:sz w:val="20"/>
                <w:szCs w:val="20"/>
                <w:lang w:val="en-GB"/>
              </w:rPr>
            </w:pPr>
            <w:r w:rsidRPr="00DA6962">
              <w:rPr>
                <w:rFonts w:ascii="Arial" w:hAnsi="Arial" w:cs="Arial"/>
                <w:sz w:val="20"/>
                <w:szCs w:val="20"/>
                <w:lang w:val="en-GB"/>
              </w:rPr>
              <w:t>102</w:t>
            </w:r>
            <w:r w:rsidR="0049329C" w:rsidRPr="00DA6962">
              <w:rPr>
                <w:rFonts w:ascii="Arial" w:hAnsi="Arial" w:cs="Arial"/>
                <w:sz w:val="20"/>
                <w:szCs w:val="20"/>
                <w:lang w:val="en-GB"/>
              </w:rPr>
              <w:t>.</w:t>
            </w:r>
            <w:r w:rsidRPr="00DA6962">
              <w:rPr>
                <w:rFonts w:ascii="Arial" w:hAnsi="Arial" w:cs="Arial"/>
                <w:sz w:val="20"/>
                <w:szCs w:val="20"/>
                <w:lang w:val="en-GB"/>
              </w:rPr>
              <w:t>4</w:t>
            </w:r>
          </w:p>
        </w:tc>
      </w:tr>
      <w:tr w:rsidR="00D44D67" w:rsidRPr="00DA6962" w:rsidTr="00CD5B55">
        <w:trPr>
          <w:cnfStyle w:val="000000100000"/>
          <w:jc w:val="center"/>
        </w:trPr>
        <w:tc>
          <w:tcPr>
            <w:cnfStyle w:val="001000000000"/>
            <w:tcW w:w="2093" w:type="dxa"/>
            <w:shd w:val="clear" w:color="auto" w:fill="B6DDE8" w:themeFill="accent5" w:themeFillTint="66"/>
          </w:tcPr>
          <w:p w:rsidR="00D44D67" w:rsidRPr="00DA6962" w:rsidRDefault="00D44D67" w:rsidP="00DA6962">
            <w:pPr>
              <w:keepNext/>
              <w:keepLines/>
              <w:rPr>
                <w:rFonts w:ascii="Arial" w:hAnsi="Arial" w:cs="Arial"/>
                <w:sz w:val="20"/>
                <w:szCs w:val="20"/>
                <w:lang w:val="en-GB"/>
              </w:rPr>
            </w:pPr>
            <w:r w:rsidRPr="00DA6962">
              <w:rPr>
                <w:rFonts w:ascii="Arial" w:hAnsi="Arial" w:cs="Arial"/>
                <w:sz w:val="20"/>
                <w:szCs w:val="20"/>
                <w:lang w:val="en-GB"/>
              </w:rPr>
              <w:t>Catalonia</w:t>
            </w:r>
          </w:p>
        </w:tc>
        <w:tc>
          <w:tcPr>
            <w:tcW w:w="1625" w:type="dxa"/>
            <w:shd w:val="clear" w:color="auto" w:fill="B6DDE8" w:themeFill="accent5" w:themeFillTint="66"/>
          </w:tcPr>
          <w:p w:rsidR="00D44D67" w:rsidRPr="00DA6962" w:rsidRDefault="00D44D67" w:rsidP="00DA6962">
            <w:pPr>
              <w:keepNext/>
              <w:keepLines/>
              <w:jc w:val="center"/>
              <w:cnfStyle w:val="000000100000"/>
              <w:rPr>
                <w:rFonts w:ascii="Arial" w:hAnsi="Arial" w:cs="Arial"/>
                <w:sz w:val="20"/>
                <w:szCs w:val="20"/>
                <w:lang w:val="en-GB"/>
              </w:rPr>
            </w:pPr>
            <w:r w:rsidRPr="00DA6962">
              <w:rPr>
                <w:rFonts w:ascii="Arial" w:hAnsi="Arial" w:cs="Arial"/>
                <w:sz w:val="20"/>
                <w:szCs w:val="20"/>
                <w:lang w:val="en-GB"/>
              </w:rPr>
              <w:t>99</w:t>
            </w:r>
            <w:r w:rsidR="0049329C" w:rsidRPr="00DA6962">
              <w:rPr>
                <w:rFonts w:ascii="Arial" w:hAnsi="Arial" w:cs="Arial"/>
                <w:sz w:val="20"/>
                <w:szCs w:val="20"/>
                <w:lang w:val="en-GB"/>
              </w:rPr>
              <w:t>.</w:t>
            </w:r>
            <w:r w:rsidRPr="00DA6962">
              <w:rPr>
                <w:rFonts w:ascii="Arial" w:hAnsi="Arial" w:cs="Arial"/>
                <w:sz w:val="20"/>
                <w:szCs w:val="20"/>
                <w:lang w:val="en-GB"/>
              </w:rPr>
              <w:t>5</w:t>
            </w:r>
          </w:p>
        </w:tc>
        <w:tc>
          <w:tcPr>
            <w:tcW w:w="1625" w:type="dxa"/>
            <w:shd w:val="clear" w:color="auto" w:fill="B6DDE8" w:themeFill="accent5" w:themeFillTint="66"/>
          </w:tcPr>
          <w:p w:rsidR="00D44D67" w:rsidRPr="00DA6962" w:rsidRDefault="00D44D67" w:rsidP="00DA6962">
            <w:pPr>
              <w:keepNext/>
              <w:keepLines/>
              <w:jc w:val="center"/>
              <w:cnfStyle w:val="000000100000"/>
              <w:rPr>
                <w:rFonts w:ascii="Arial" w:hAnsi="Arial" w:cs="Arial"/>
                <w:sz w:val="20"/>
                <w:szCs w:val="20"/>
                <w:lang w:val="en-GB"/>
              </w:rPr>
            </w:pPr>
            <w:r w:rsidRPr="00DA6962">
              <w:rPr>
                <w:rFonts w:ascii="Arial" w:hAnsi="Arial" w:cs="Arial"/>
                <w:sz w:val="20"/>
                <w:szCs w:val="20"/>
                <w:lang w:val="en-GB"/>
              </w:rPr>
              <w:t>-0</w:t>
            </w:r>
            <w:r w:rsidR="0049329C" w:rsidRPr="00DA6962">
              <w:rPr>
                <w:rFonts w:ascii="Arial" w:hAnsi="Arial" w:cs="Arial"/>
                <w:sz w:val="20"/>
                <w:szCs w:val="20"/>
                <w:lang w:val="en-GB"/>
              </w:rPr>
              <w:t>.</w:t>
            </w:r>
            <w:r w:rsidRPr="00DA6962">
              <w:rPr>
                <w:rFonts w:ascii="Arial" w:hAnsi="Arial" w:cs="Arial"/>
                <w:sz w:val="20"/>
                <w:szCs w:val="20"/>
                <w:lang w:val="en-GB"/>
              </w:rPr>
              <w:t>2</w:t>
            </w:r>
          </w:p>
        </w:tc>
        <w:tc>
          <w:tcPr>
            <w:tcW w:w="1626" w:type="dxa"/>
            <w:shd w:val="clear" w:color="auto" w:fill="B6DDE8" w:themeFill="accent5" w:themeFillTint="66"/>
          </w:tcPr>
          <w:p w:rsidR="00D44D67" w:rsidRPr="00DA6962" w:rsidRDefault="00D44D67" w:rsidP="00DA6962">
            <w:pPr>
              <w:keepNext/>
              <w:keepLines/>
              <w:jc w:val="center"/>
              <w:cnfStyle w:val="000000100000"/>
              <w:rPr>
                <w:rFonts w:ascii="Arial" w:hAnsi="Arial" w:cs="Arial"/>
                <w:sz w:val="20"/>
                <w:szCs w:val="20"/>
                <w:lang w:val="en-GB"/>
              </w:rPr>
            </w:pPr>
            <w:r w:rsidRPr="00DA6962">
              <w:rPr>
                <w:rFonts w:ascii="Arial" w:hAnsi="Arial" w:cs="Arial"/>
                <w:sz w:val="20"/>
                <w:szCs w:val="20"/>
                <w:lang w:val="en-GB"/>
              </w:rPr>
              <w:t>99</w:t>
            </w:r>
            <w:r w:rsidR="0049329C" w:rsidRPr="00DA6962">
              <w:rPr>
                <w:rFonts w:ascii="Arial" w:hAnsi="Arial" w:cs="Arial"/>
                <w:sz w:val="20"/>
                <w:szCs w:val="20"/>
                <w:lang w:val="en-GB"/>
              </w:rPr>
              <w:t>.</w:t>
            </w:r>
            <w:r w:rsidRPr="00DA6962">
              <w:rPr>
                <w:rFonts w:ascii="Arial" w:hAnsi="Arial" w:cs="Arial"/>
                <w:sz w:val="20"/>
                <w:szCs w:val="20"/>
                <w:lang w:val="en-GB"/>
              </w:rPr>
              <w:t>3</w:t>
            </w:r>
          </w:p>
        </w:tc>
      </w:tr>
      <w:tr w:rsidR="00D44D67" w:rsidRPr="00DA6962" w:rsidTr="00CD5B55">
        <w:trPr>
          <w:jc w:val="center"/>
        </w:trPr>
        <w:tc>
          <w:tcPr>
            <w:cnfStyle w:val="001000000000"/>
            <w:tcW w:w="2093" w:type="dxa"/>
            <w:shd w:val="clear" w:color="auto" w:fill="B6DDE8" w:themeFill="accent5" w:themeFillTint="66"/>
          </w:tcPr>
          <w:p w:rsidR="00D44D67" w:rsidRPr="00DA6962" w:rsidRDefault="00D44D67" w:rsidP="00DA6962">
            <w:pPr>
              <w:keepNext/>
              <w:keepLines/>
              <w:rPr>
                <w:rFonts w:ascii="Arial" w:hAnsi="Arial" w:cs="Arial"/>
                <w:sz w:val="20"/>
                <w:szCs w:val="20"/>
                <w:lang w:val="en-GB"/>
              </w:rPr>
            </w:pPr>
            <w:r w:rsidRPr="00DA6962">
              <w:rPr>
                <w:rFonts w:ascii="Arial" w:hAnsi="Arial" w:cs="Arial"/>
                <w:sz w:val="20"/>
                <w:szCs w:val="20"/>
                <w:lang w:val="en-GB"/>
              </w:rPr>
              <w:t>Cantabria</w:t>
            </w:r>
          </w:p>
        </w:tc>
        <w:tc>
          <w:tcPr>
            <w:tcW w:w="1625" w:type="dxa"/>
            <w:shd w:val="clear" w:color="auto" w:fill="B6DDE8" w:themeFill="accent5" w:themeFillTint="66"/>
          </w:tcPr>
          <w:p w:rsidR="00D44D67" w:rsidRPr="00DA6962" w:rsidRDefault="00D44D67" w:rsidP="00DA6962">
            <w:pPr>
              <w:keepNext/>
              <w:keepLines/>
              <w:jc w:val="center"/>
              <w:cnfStyle w:val="000000000000"/>
              <w:rPr>
                <w:rFonts w:ascii="Arial" w:hAnsi="Arial" w:cs="Arial"/>
                <w:sz w:val="20"/>
                <w:szCs w:val="20"/>
                <w:lang w:val="en-GB"/>
              </w:rPr>
            </w:pPr>
            <w:r w:rsidRPr="00DA6962">
              <w:rPr>
                <w:rFonts w:ascii="Arial" w:hAnsi="Arial" w:cs="Arial"/>
                <w:sz w:val="20"/>
                <w:szCs w:val="20"/>
                <w:lang w:val="en-GB"/>
              </w:rPr>
              <w:t>91</w:t>
            </w:r>
            <w:r w:rsidR="0049329C" w:rsidRPr="00DA6962">
              <w:rPr>
                <w:rFonts w:ascii="Arial" w:hAnsi="Arial" w:cs="Arial"/>
                <w:sz w:val="20"/>
                <w:szCs w:val="20"/>
                <w:lang w:val="en-GB"/>
              </w:rPr>
              <w:t>.</w:t>
            </w:r>
            <w:r w:rsidRPr="00DA6962">
              <w:rPr>
                <w:rFonts w:ascii="Arial" w:hAnsi="Arial" w:cs="Arial"/>
                <w:sz w:val="20"/>
                <w:szCs w:val="20"/>
                <w:lang w:val="en-GB"/>
              </w:rPr>
              <w:t>1</w:t>
            </w:r>
          </w:p>
        </w:tc>
        <w:tc>
          <w:tcPr>
            <w:tcW w:w="1625" w:type="dxa"/>
            <w:shd w:val="clear" w:color="auto" w:fill="B6DDE8" w:themeFill="accent5" w:themeFillTint="66"/>
          </w:tcPr>
          <w:p w:rsidR="00D44D67" w:rsidRPr="00DA6962" w:rsidRDefault="00D44D67" w:rsidP="00DA6962">
            <w:pPr>
              <w:keepNext/>
              <w:keepLines/>
              <w:jc w:val="center"/>
              <w:cnfStyle w:val="000000000000"/>
              <w:rPr>
                <w:rFonts w:ascii="Arial" w:hAnsi="Arial" w:cs="Arial"/>
                <w:sz w:val="20"/>
                <w:szCs w:val="20"/>
                <w:lang w:val="en-GB"/>
              </w:rPr>
            </w:pPr>
            <w:r w:rsidRPr="00DA6962">
              <w:rPr>
                <w:rFonts w:ascii="Arial" w:hAnsi="Arial" w:cs="Arial"/>
                <w:sz w:val="20"/>
                <w:szCs w:val="20"/>
                <w:lang w:val="en-GB"/>
              </w:rPr>
              <w:t>26</w:t>
            </w:r>
            <w:r w:rsidR="0049329C" w:rsidRPr="00DA6962">
              <w:rPr>
                <w:rFonts w:ascii="Arial" w:hAnsi="Arial" w:cs="Arial"/>
                <w:sz w:val="20"/>
                <w:szCs w:val="20"/>
                <w:lang w:val="en-GB"/>
              </w:rPr>
              <w:t>.</w:t>
            </w:r>
            <w:r w:rsidRPr="00DA6962">
              <w:rPr>
                <w:rFonts w:ascii="Arial" w:hAnsi="Arial" w:cs="Arial"/>
                <w:sz w:val="20"/>
                <w:szCs w:val="20"/>
                <w:lang w:val="en-GB"/>
              </w:rPr>
              <w:t>8</w:t>
            </w:r>
          </w:p>
        </w:tc>
        <w:tc>
          <w:tcPr>
            <w:tcW w:w="1626" w:type="dxa"/>
            <w:shd w:val="clear" w:color="auto" w:fill="B6DDE8" w:themeFill="accent5" w:themeFillTint="66"/>
          </w:tcPr>
          <w:p w:rsidR="00D44D67" w:rsidRPr="00DA6962" w:rsidRDefault="00D44D67" w:rsidP="00DA6962">
            <w:pPr>
              <w:keepNext/>
              <w:keepLines/>
              <w:jc w:val="center"/>
              <w:cnfStyle w:val="000000000000"/>
              <w:rPr>
                <w:rFonts w:ascii="Arial" w:hAnsi="Arial" w:cs="Arial"/>
                <w:sz w:val="20"/>
                <w:szCs w:val="20"/>
                <w:lang w:val="en-GB"/>
              </w:rPr>
            </w:pPr>
            <w:r w:rsidRPr="00DA6962">
              <w:rPr>
                <w:rFonts w:ascii="Arial" w:hAnsi="Arial" w:cs="Arial"/>
                <w:sz w:val="20"/>
                <w:szCs w:val="20"/>
                <w:lang w:val="en-GB"/>
              </w:rPr>
              <w:t>117</w:t>
            </w:r>
            <w:r w:rsidR="0049329C" w:rsidRPr="00DA6962">
              <w:rPr>
                <w:rFonts w:ascii="Arial" w:hAnsi="Arial" w:cs="Arial"/>
                <w:sz w:val="20"/>
                <w:szCs w:val="20"/>
                <w:lang w:val="en-GB"/>
              </w:rPr>
              <w:t>.</w:t>
            </w:r>
            <w:r w:rsidRPr="00DA6962">
              <w:rPr>
                <w:rFonts w:ascii="Arial" w:hAnsi="Arial" w:cs="Arial"/>
                <w:sz w:val="20"/>
                <w:szCs w:val="20"/>
                <w:lang w:val="en-GB"/>
              </w:rPr>
              <w:t>9</w:t>
            </w:r>
          </w:p>
        </w:tc>
      </w:tr>
      <w:tr w:rsidR="00D44D67" w:rsidRPr="00DA6962" w:rsidTr="00CD5B55">
        <w:trPr>
          <w:cnfStyle w:val="000000100000"/>
          <w:jc w:val="center"/>
        </w:trPr>
        <w:tc>
          <w:tcPr>
            <w:cnfStyle w:val="001000000000"/>
            <w:tcW w:w="2093" w:type="dxa"/>
            <w:shd w:val="clear" w:color="auto" w:fill="B6DDE8" w:themeFill="accent5" w:themeFillTint="66"/>
          </w:tcPr>
          <w:p w:rsidR="00D44D67" w:rsidRPr="00DA6962" w:rsidRDefault="00D44D67" w:rsidP="00DA6962">
            <w:pPr>
              <w:keepNext/>
              <w:keepLines/>
              <w:rPr>
                <w:rFonts w:ascii="Arial" w:hAnsi="Arial" w:cs="Arial"/>
                <w:sz w:val="20"/>
                <w:szCs w:val="20"/>
                <w:lang w:val="en-GB"/>
              </w:rPr>
            </w:pPr>
            <w:r w:rsidRPr="00DA6962">
              <w:rPr>
                <w:rFonts w:ascii="Arial" w:hAnsi="Arial" w:cs="Arial"/>
                <w:sz w:val="20"/>
                <w:szCs w:val="20"/>
                <w:lang w:val="en-GB"/>
              </w:rPr>
              <w:t>Aragón</w:t>
            </w:r>
          </w:p>
        </w:tc>
        <w:tc>
          <w:tcPr>
            <w:tcW w:w="1625" w:type="dxa"/>
            <w:shd w:val="clear" w:color="auto" w:fill="B6DDE8" w:themeFill="accent5" w:themeFillTint="66"/>
          </w:tcPr>
          <w:p w:rsidR="00D44D67" w:rsidRPr="00DA6962" w:rsidRDefault="00D44D67" w:rsidP="00DA6962">
            <w:pPr>
              <w:keepNext/>
              <w:keepLines/>
              <w:jc w:val="center"/>
              <w:cnfStyle w:val="000000100000"/>
              <w:rPr>
                <w:rFonts w:ascii="Arial" w:hAnsi="Arial" w:cs="Arial"/>
                <w:sz w:val="20"/>
                <w:szCs w:val="20"/>
                <w:lang w:val="en-GB"/>
              </w:rPr>
            </w:pPr>
            <w:r w:rsidRPr="00DA6962">
              <w:rPr>
                <w:rFonts w:ascii="Arial" w:hAnsi="Arial" w:cs="Arial"/>
                <w:sz w:val="20"/>
                <w:szCs w:val="20"/>
                <w:lang w:val="en-GB"/>
              </w:rPr>
              <w:t>89</w:t>
            </w:r>
            <w:r w:rsidR="0049329C" w:rsidRPr="00DA6962">
              <w:rPr>
                <w:rFonts w:ascii="Arial" w:hAnsi="Arial" w:cs="Arial"/>
                <w:sz w:val="20"/>
                <w:szCs w:val="20"/>
                <w:lang w:val="en-GB"/>
              </w:rPr>
              <w:t>.</w:t>
            </w:r>
            <w:r w:rsidRPr="00DA6962">
              <w:rPr>
                <w:rFonts w:ascii="Arial" w:hAnsi="Arial" w:cs="Arial"/>
                <w:sz w:val="20"/>
                <w:szCs w:val="20"/>
                <w:lang w:val="en-GB"/>
              </w:rPr>
              <w:t>1</w:t>
            </w:r>
          </w:p>
        </w:tc>
        <w:tc>
          <w:tcPr>
            <w:tcW w:w="1625" w:type="dxa"/>
            <w:shd w:val="clear" w:color="auto" w:fill="B6DDE8" w:themeFill="accent5" w:themeFillTint="66"/>
          </w:tcPr>
          <w:p w:rsidR="00D44D67" w:rsidRPr="00DA6962" w:rsidRDefault="00D44D67" w:rsidP="00DA6962">
            <w:pPr>
              <w:keepNext/>
              <w:keepLines/>
              <w:jc w:val="center"/>
              <w:cnfStyle w:val="000000100000"/>
              <w:rPr>
                <w:rFonts w:ascii="Arial" w:hAnsi="Arial" w:cs="Arial"/>
                <w:sz w:val="20"/>
                <w:szCs w:val="20"/>
                <w:lang w:val="en-GB"/>
              </w:rPr>
            </w:pPr>
            <w:r w:rsidRPr="00DA6962">
              <w:rPr>
                <w:rFonts w:ascii="Arial" w:hAnsi="Arial" w:cs="Arial"/>
                <w:sz w:val="20"/>
                <w:szCs w:val="20"/>
                <w:lang w:val="en-GB"/>
              </w:rPr>
              <w:t>15</w:t>
            </w:r>
            <w:r w:rsidR="0049329C" w:rsidRPr="00DA6962">
              <w:rPr>
                <w:rFonts w:ascii="Arial" w:hAnsi="Arial" w:cs="Arial"/>
                <w:sz w:val="20"/>
                <w:szCs w:val="20"/>
                <w:lang w:val="en-GB"/>
              </w:rPr>
              <w:t>.</w:t>
            </w:r>
            <w:r w:rsidRPr="00DA6962">
              <w:rPr>
                <w:rFonts w:ascii="Arial" w:hAnsi="Arial" w:cs="Arial"/>
                <w:sz w:val="20"/>
                <w:szCs w:val="20"/>
                <w:lang w:val="en-GB"/>
              </w:rPr>
              <w:t>8</w:t>
            </w:r>
          </w:p>
        </w:tc>
        <w:tc>
          <w:tcPr>
            <w:tcW w:w="1626" w:type="dxa"/>
            <w:shd w:val="clear" w:color="auto" w:fill="B6DDE8" w:themeFill="accent5" w:themeFillTint="66"/>
          </w:tcPr>
          <w:p w:rsidR="00D44D67" w:rsidRPr="00DA6962" w:rsidRDefault="00D44D67" w:rsidP="00DA6962">
            <w:pPr>
              <w:keepNext/>
              <w:keepLines/>
              <w:jc w:val="center"/>
              <w:cnfStyle w:val="000000100000"/>
              <w:rPr>
                <w:rFonts w:ascii="Arial" w:hAnsi="Arial" w:cs="Arial"/>
                <w:sz w:val="20"/>
                <w:szCs w:val="20"/>
                <w:lang w:val="en-GB"/>
              </w:rPr>
            </w:pPr>
            <w:r w:rsidRPr="00DA6962">
              <w:rPr>
                <w:rFonts w:ascii="Arial" w:hAnsi="Arial" w:cs="Arial"/>
                <w:sz w:val="20"/>
                <w:szCs w:val="20"/>
                <w:lang w:val="en-GB"/>
              </w:rPr>
              <w:t>104</w:t>
            </w:r>
            <w:r w:rsidR="0049329C" w:rsidRPr="00DA6962">
              <w:rPr>
                <w:rFonts w:ascii="Arial" w:hAnsi="Arial" w:cs="Arial"/>
                <w:sz w:val="20"/>
                <w:szCs w:val="20"/>
                <w:lang w:val="en-GB"/>
              </w:rPr>
              <w:t>.</w:t>
            </w:r>
            <w:r w:rsidRPr="00DA6962">
              <w:rPr>
                <w:rFonts w:ascii="Arial" w:hAnsi="Arial" w:cs="Arial"/>
                <w:sz w:val="20"/>
                <w:szCs w:val="20"/>
                <w:lang w:val="en-GB"/>
              </w:rPr>
              <w:t>9</w:t>
            </w:r>
          </w:p>
        </w:tc>
      </w:tr>
      <w:tr w:rsidR="00D44D67" w:rsidRPr="00DA6962" w:rsidTr="00CD5B55">
        <w:trPr>
          <w:jc w:val="center"/>
        </w:trPr>
        <w:tc>
          <w:tcPr>
            <w:cnfStyle w:val="001000000000"/>
            <w:tcW w:w="2093" w:type="dxa"/>
            <w:shd w:val="clear" w:color="auto" w:fill="B6DDE8" w:themeFill="accent5" w:themeFillTint="66"/>
          </w:tcPr>
          <w:p w:rsidR="00D44D67" w:rsidRPr="00DA6962" w:rsidRDefault="00D44D67" w:rsidP="00DA6962">
            <w:pPr>
              <w:keepNext/>
              <w:keepLines/>
              <w:rPr>
                <w:rFonts w:ascii="Arial" w:hAnsi="Arial" w:cs="Arial"/>
                <w:sz w:val="20"/>
                <w:szCs w:val="20"/>
                <w:lang w:val="en-GB"/>
              </w:rPr>
            </w:pPr>
            <w:r w:rsidRPr="00DA6962">
              <w:rPr>
                <w:rFonts w:ascii="Arial" w:hAnsi="Arial" w:cs="Arial"/>
                <w:sz w:val="20"/>
                <w:szCs w:val="20"/>
                <w:lang w:val="en-GB"/>
              </w:rPr>
              <w:t>La Rioja</w:t>
            </w:r>
          </w:p>
        </w:tc>
        <w:tc>
          <w:tcPr>
            <w:tcW w:w="1625" w:type="dxa"/>
            <w:shd w:val="clear" w:color="auto" w:fill="B6DDE8" w:themeFill="accent5" w:themeFillTint="66"/>
          </w:tcPr>
          <w:p w:rsidR="00D44D67" w:rsidRPr="00DA6962" w:rsidRDefault="00D44D67" w:rsidP="00DA6962">
            <w:pPr>
              <w:keepNext/>
              <w:keepLines/>
              <w:jc w:val="center"/>
              <w:cnfStyle w:val="000000000000"/>
              <w:rPr>
                <w:rFonts w:ascii="Arial" w:hAnsi="Arial" w:cs="Arial"/>
                <w:sz w:val="20"/>
                <w:szCs w:val="20"/>
                <w:lang w:val="en-GB"/>
              </w:rPr>
            </w:pPr>
            <w:r w:rsidRPr="00DA6962">
              <w:rPr>
                <w:rFonts w:ascii="Arial" w:hAnsi="Arial" w:cs="Arial"/>
                <w:sz w:val="20"/>
                <w:szCs w:val="20"/>
                <w:lang w:val="en-GB"/>
              </w:rPr>
              <w:t>84</w:t>
            </w:r>
            <w:r w:rsidR="0049329C" w:rsidRPr="00DA6962">
              <w:rPr>
                <w:rFonts w:ascii="Arial" w:hAnsi="Arial" w:cs="Arial"/>
                <w:sz w:val="20"/>
                <w:szCs w:val="20"/>
                <w:lang w:val="en-GB"/>
              </w:rPr>
              <w:t>.</w:t>
            </w:r>
            <w:r w:rsidRPr="00DA6962">
              <w:rPr>
                <w:rFonts w:ascii="Arial" w:hAnsi="Arial" w:cs="Arial"/>
                <w:sz w:val="20"/>
                <w:szCs w:val="20"/>
                <w:lang w:val="en-GB"/>
              </w:rPr>
              <w:t>8</w:t>
            </w:r>
          </w:p>
        </w:tc>
        <w:tc>
          <w:tcPr>
            <w:tcW w:w="1625" w:type="dxa"/>
            <w:shd w:val="clear" w:color="auto" w:fill="B6DDE8" w:themeFill="accent5" w:themeFillTint="66"/>
          </w:tcPr>
          <w:p w:rsidR="00D44D67" w:rsidRPr="00DA6962" w:rsidRDefault="00D44D67" w:rsidP="00DA6962">
            <w:pPr>
              <w:keepNext/>
              <w:keepLines/>
              <w:jc w:val="center"/>
              <w:cnfStyle w:val="000000000000"/>
              <w:rPr>
                <w:rFonts w:ascii="Arial" w:hAnsi="Arial" w:cs="Arial"/>
                <w:sz w:val="20"/>
                <w:szCs w:val="20"/>
                <w:lang w:val="en-GB"/>
              </w:rPr>
            </w:pPr>
            <w:r w:rsidRPr="00DA6962">
              <w:rPr>
                <w:rFonts w:ascii="Arial" w:hAnsi="Arial" w:cs="Arial"/>
                <w:sz w:val="20"/>
                <w:szCs w:val="20"/>
                <w:lang w:val="en-GB"/>
              </w:rPr>
              <w:t>31</w:t>
            </w:r>
            <w:r w:rsidR="0049329C" w:rsidRPr="00DA6962">
              <w:rPr>
                <w:rFonts w:ascii="Arial" w:hAnsi="Arial" w:cs="Arial"/>
                <w:sz w:val="20"/>
                <w:szCs w:val="20"/>
                <w:lang w:val="en-GB"/>
              </w:rPr>
              <w:t>.</w:t>
            </w:r>
            <w:r w:rsidRPr="00DA6962">
              <w:rPr>
                <w:rFonts w:ascii="Arial" w:hAnsi="Arial" w:cs="Arial"/>
                <w:sz w:val="20"/>
                <w:szCs w:val="20"/>
                <w:lang w:val="en-GB"/>
              </w:rPr>
              <w:t>1</w:t>
            </w:r>
          </w:p>
        </w:tc>
        <w:tc>
          <w:tcPr>
            <w:tcW w:w="1626" w:type="dxa"/>
            <w:shd w:val="clear" w:color="auto" w:fill="B6DDE8" w:themeFill="accent5" w:themeFillTint="66"/>
          </w:tcPr>
          <w:p w:rsidR="00D44D67" w:rsidRPr="00DA6962" w:rsidRDefault="00D44D67" w:rsidP="00DA6962">
            <w:pPr>
              <w:keepNext/>
              <w:keepLines/>
              <w:jc w:val="center"/>
              <w:cnfStyle w:val="000000000000"/>
              <w:rPr>
                <w:rFonts w:ascii="Arial" w:hAnsi="Arial" w:cs="Arial"/>
                <w:sz w:val="20"/>
                <w:szCs w:val="20"/>
                <w:lang w:val="en-GB"/>
              </w:rPr>
            </w:pPr>
            <w:r w:rsidRPr="00DA6962">
              <w:rPr>
                <w:rFonts w:ascii="Arial" w:hAnsi="Arial" w:cs="Arial"/>
                <w:sz w:val="20"/>
                <w:szCs w:val="20"/>
                <w:lang w:val="en-GB"/>
              </w:rPr>
              <w:t>115</w:t>
            </w:r>
            <w:r w:rsidR="0049329C" w:rsidRPr="00DA6962">
              <w:rPr>
                <w:rFonts w:ascii="Arial" w:hAnsi="Arial" w:cs="Arial"/>
                <w:sz w:val="20"/>
                <w:szCs w:val="20"/>
                <w:lang w:val="en-GB"/>
              </w:rPr>
              <w:t>.</w:t>
            </w:r>
            <w:r w:rsidRPr="00DA6962">
              <w:rPr>
                <w:rFonts w:ascii="Arial" w:hAnsi="Arial" w:cs="Arial"/>
                <w:sz w:val="20"/>
                <w:szCs w:val="20"/>
                <w:lang w:val="en-GB"/>
              </w:rPr>
              <w:t>9</w:t>
            </w:r>
          </w:p>
        </w:tc>
      </w:tr>
      <w:tr w:rsidR="00D44D67" w:rsidRPr="00DA6962" w:rsidTr="00CD5B55">
        <w:trPr>
          <w:cnfStyle w:val="000000100000"/>
          <w:jc w:val="center"/>
        </w:trPr>
        <w:tc>
          <w:tcPr>
            <w:cnfStyle w:val="001000000000"/>
            <w:tcW w:w="2093" w:type="dxa"/>
            <w:shd w:val="clear" w:color="auto" w:fill="B6DDE8" w:themeFill="accent5" w:themeFillTint="66"/>
          </w:tcPr>
          <w:p w:rsidR="00D44D67" w:rsidRPr="00DA6962" w:rsidRDefault="00D44D67" w:rsidP="00DA6962">
            <w:pPr>
              <w:keepNext/>
              <w:keepLines/>
              <w:rPr>
                <w:rFonts w:ascii="Arial" w:hAnsi="Arial" w:cs="Arial"/>
                <w:sz w:val="20"/>
                <w:szCs w:val="20"/>
                <w:lang w:val="en-GB"/>
              </w:rPr>
            </w:pPr>
            <w:r w:rsidRPr="00DA6962">
              <w:rPr>
                <w:rFonts w:ascii="Arial" w:hAnsi="Arial" w:cs="Arial"/>
                <w:sz w:val="20"/>
                <w:szCs w:val="20"/>
                <w:lang w:val="en-GB"/>
              </w:rPr>
              <w:t>Asturias</w:t>
            </w:r>
          </w:p>
        </w:tc>
        <w:tc>
          <w:tcPr>
            <w:tcW w:w="1625" w:type="dxa"/>
            <w:shd w:val="clear" w:color="auto" w:fill="B6DDE8" w:themeFill="accent5" w:themeFillTint="66"/>
          </w:tcPr>
          <w:p w:rsidR="00D44D67" w:rsidRPr="00DA6962" w:rsidRDefault="00D44D67" w:rsidP="00DA6962">
            <w:pPr>
              <w:keepNext/>
              <w:keepLines/>
              <w:jc w:val="center"/>
              <w:cnfStyle w:val="000000100000"/>
              <w:rPr>
                <w:rFonts w:ascii="Arial" w:hAnsi="Arial" w:cs="Arial"/>
                <w:sz w:val="20"/>
                <w:szCs w:val="20"/>
                <w:lang w:val="en-GB"/>
              </w:rPr>
            </w:pPr>
            <w:r w:rsidRPr="00DA6962">
              <w:rPr>
                <w:rFonts w:ascii="Arial" w:hAnsi="Arial" w:cs="Arial"/>
                <w:sz w:val="20"/>
                <w:szCs w:val="20"/>
                <w:lang w:val="en-GB"/>
              </w:rPr>
              <w:t>84</w:t>
            </w:r>
            <w:r w:rsidR="0049329C" w:rsidRPr="00DA6962">
              <w:rPr>
                <w:rFonts w:ascii="Arial" w:hAnsi="Arial" w:cs="Arial"/>
                <w:sz w:val="20"/>
                <w:szCs w:val="20"/>
                <w:lang w:val="en-GB"/>
              </w:rPr>
              <w:t>.</w:t>
            </w:r>
            <w:r w:rsidRPr="00DA6962">
              <w:rPr>
                <w:rFonts w:ascii="Arial" w:hAnsi="Arial" w:cs="Arial"/>
                <w:sz w:val="20"/>
                <w:szCs w:val="20"/>
                <w:lang w:val="en-GB"/>
              </w:rPr>
              <w:t>0</w:t>
            </w:r>
          </w:p>
        </w:tc>
        <w:tc>
          <w:tcPr>
            <w:tcW w:w="1625" w:type="dxa"/>
            <w:shd w:val="clear" w:color="auto" w:fill="B6DDE8" w:themeFill="accent5" w:themeFillTint="66"/>
          </w:tcPr>
          <w:p w:rsidR="00D44D67" w:rsidRPr="00DA6962" w:rsidRDefault="00D44D67" w:rsidP="00DA6962">
            <w:pPr>
              <w:keepNext/>
              <w:keepLines/>
              <w:jc w:val="center"/>
              <w:cnfStyle w:val="000000100000"/>
              <w:rPr>
                <w:rFonts w:ascii="Arial" w:hAnsi="Arial" w:cs="Arial"/>
                <w:sz w:val="20"/>
                <w:szCs w:val="20"/>
                <w:lang w:val="en-GB"/>
              </w:rPr>
            </w:pPr>
            <w:r w:rsidRPr="00DA6962">
              <w:rPr>
                <w:rFonts w:ascii="Arial" w:hAnsi="Arial" w:cs="Arial"/>
                <w:sz w:val="20"/>
                <w:szCs w:val="20"/>
                <w:lang w:val="en-GB"/>
              </w:rPr>
              <w:t>23</w:t>
            </w:r>
            <w:r w:rsidR="0049329C" w:rsidRPr="00DA6962">
              <w:rPr>
                <w:rFonts w:ascii="Arial" w:hAnsi="Arial" w:cs="Arial"/>
                <w:sz w:val="20"/>
                <w:szCs w:val="20"/>
                <w:lang w:val="en-GB"/>
              </w:rPr>
              <w:t>.</w:t>
            </w:r>
            <w:r w:rsidRPr="00DA6962">
              <w:rPr>
                <w:rFonts w:ascii="Arial" w:hAnsi="Arial" w:cs="Arial"/>
                <w:sz w:val="20"/>
                <w:szCs w:val="20"/>
                <w:lang w:val="en-GB"/>
              </w:rPr>
              <w:t>4</w:t>
            </w:r>
          </w:p>
        </w:tc>
        <w:tc>
          <w:tcPr>
            <w:tcW w:w="1626" w:type="dxa"/>
            <w:shd w:val="clear" w:color="auto" w:fill="B6DDE8" w:themeFill="accent5" w:themeFillTint="66"/>
          </w:tcPr>
          <w:p w:rsidR="00D44D67" w:rsidRPr="00DA6962" w:rsidRDefault="00D44D67" w:rsidP="00DA6962">
            <w:pPr>
              <w:keepNext/>
              <w:keepLines/>
              <w:jc w:val="center"/>
              <w:cnfStyle w:val="000000100000"/>
              <w:rPr>
                <w:rFonts w:ascii="Arial" w:hAnsi="Arial" w:cs="Arial"/>
                <w:sz w:val="20"/>
                <w:szCs w:val="20"/>
                <w:lang w:val="en-GB"/>
              </w:rPr>
            </w:pPr>
            <w:r w:rsidRPr="00DA6962">
              <w:rPr>
                <w:rFonts w:ascii="Arial" w:hAnsi="Arial" w:cs="Arial"/>
                <w:sz w:val="20"/>
                <w:szCs w:val="20"/>
                <w:lang w:val="en-GB"/>
              </w:rPr>
              <w:t>107</w:t>
            </w:r>
            <w:r w:rsidR="0049329C" w:rsidRPr="00DA6962">
              <w:rPr>
                <w:rFonts w:ascii="Arial" w:hAnsi="Arial" w:cs="Arial"/>
                <w:sz w:val="20"/>
                <w:szCs w:val="20"/>
                <w:lang w:val="en-GB"/>
              </w:rPr>
              <w:t>.</w:t>
            </w:r>
            <w:r w:rsidRPr="00DA6962">
              <w:rPr>
                <w:rFonts w:ascii="Arial" w:hAnsi="Arial" w:cs="Arial"/>
                <w:sz w:val="20"/>
                <w:szCs w:val="20"/>
                <w:lang w:val="en-GB"/>
              </w:rPr>
              <w:t>4</w:t>
            </w:r>
          </w:p>
        </w:tc>
      </w:tr>
      <w:tr w:rsidR="00CD5B55" w:rsidRPr="00DA6962" w:rsidTr="00235CDC">
        <w:trPr>
          <w:jc w:val="center"/>
        </w:trPr>
        <w:tc>
          <w:tcPr>
            <w:cnfStyle w:val="001000000000"/>
            <w:tcW w:w="2093" w:type="dxa"/>
            <w:shd w:val="clear" w:color="auto" w:fill="0070C0"/>
          </w:tcPr>
          <w:p w:rsidR="00CD5B55" w:rsidRPr="00DA6962" w:rsidRDefault="00CD5B55" w:rsidP="00DA6962">
            <w:pPr>
              <w:keepNext/>
              <w:keepLines/>
              <w:rPr>
                <w:rFonts w:ascii="Arial" w:hAnsi="Arial" w:cs="Arial"/>
                <w:color w:val="auto"/>
                <w:sz w:val="20"/>
                <w:szCs w:val="20"/>
                <w:lang w:val="en-GB"/>
              </w:rPr>
            </w:pPr>
            <w:r w:rsidRPr="00DA6962">
              <w:rPr>
                <w:rFonts w:ascii="Arial" w:hAnsi="Arial" w:cs="Arial"/>
                <w:color w:val="auto"/>
                <w:sz w:val="20"/>
                <w:szCs w:val="20"/>
                <w:lang w:val="en-GB"/>
              </w:rPr>
              <w:t>Average (all ACs)</w:t>
            </w:r>
          </w:p>
        </w:tc>
        <w:tc>
          <w:tcPr>
            <w:tcW w:w="1625" w:type="dxa"/>
            <w:shd w:val="clear" w:color="auto" w:fill="0070C0"/>
          </w:tcPr>
          <w:p w:rsidR="00CD5B55" w:rsidRPr="00DA6962" w:rsidRDefault="00CD5B55" w:rsidP="00DA6962">
            <w:pPr>
              <w:keepNext/>
              <w:keepLines/>
              <w:jc w:val="center"/>
              <w:cnfStyle w:val="000000000000"/>
              <w:rPr>
                <w:rFonts w:ascii="Arial" w:hAnsi="Arial" w:cs="Arial"/>
                <w:b/>
                <w:color w:val="auto"/>
                <w:sz w:val="20"/>
                <w:szCs w:val="20"/>
                <w:lang w:val="en-GB"/>
              </w:rPr>
            </w:pPr>
            <w:r w:rsidRPr="00DA6962">
              <w:rPr>
                <w:rFonts w:ascii="Arial" w:hAnsi="Arial" w:cs="Arial"/>
                <w:b/>
                <w:color w:val="auto"/>
                <w:sz w:val="20"/>
                <w:szCs w:val="20"/>
                <w:lang w:val="en-GB"/>
              </w:rPr>
              <w:t>83.9</w:t>
            </w:r>
          </w:p>
        </w:tc>
        <w:tc>
          <w:tcPr>
            <w:tcW w:w="1625" w:type="dxa"/>
            <w:shd w:val="clear" w:color="auto" w:fill="0070C0"/>
          </w:tcPr>
          <w:p w:rsidR="00CD5B55" w:rsidRPr="00DA6962" w:rsidRDefault="00CD5B55" w:rsidP="00DA6962">
            <w:pPr>
              <w:keepNext/>
              <w:keepLines/>
              <w:jc w:val="center"/>
              <w:cnfStyle w:val="000000000000"/>
              <w:rPr>
                <w:rFonts w:ascii="Arial" w:hAnsi="Arial" w:cs="Arial"/>
                <w:b/>
                <w:color w:val="auto"/>
                <w:sz w:val="20"/>
                <w:szCs w:val="20"/>
                <w:lang w:val="en-GB"/>
              </w:rPr>
            </w:pPr>
            <w:r w:rsidRPr="00DA6962">
              <w:rPr>
                <w:rFonts w:ascii="Arial" w:hAnsi="Arial" w:cs="Arial"/>
                <w:b/>
                <w:color w:val="auto"/>
                <w:sz w:val="20"/>
                <w:szCs w:val="20"/>
                <w:lang w:val="en-GB"/>
              </w:rPr>
              <w:t>16.1</w:t>
            </w:r>
          </w:p>
        </w:tc>
        <w:tc>
          <w:tcPr>
            <w:tcW w:w="1626" w:type="dxa"/>
            <w:shd w:val="clear" w:color="auto" w:fill="0070C0"/>
          </w:tcPr>
          <w:p w:rsidR="00CD5B55" w:rsidRPr="00DA6962" w:rsidRDefault="00CD5B55" w:rsidP="00DA6962">
            <w:pPr>
              <w:keepNext/>
              <w:keepLines/>
              <w:jc w:val="center"/>
              <w:cnfStyle w:val="000000000000"/>
              <w:rPr>
                <w:rFonts w:ascii="Arial" w:hAnsi="Arial" w:cs="Arial"/>
                <w:b/>
                <w:color w:val="auto"/>
                <w:sz w:val="20"/>
                <w:szCs w:val="20"/>
                <w:lang w:val="en-GB"/>
              </w:rPr>
            </w:pPr>
            <w:r w:rsidRPr="00DA6962">
              <w:rPr>
                <w:rFonts w:ascii="Arial" w:hAnsi="Arial" w:cs="Arial"/>
                <w:b/>
                <w:color w:val="auto"/>
                <w:sz w:val="20"/>
                <w:szCs w:val="20"/>
                <w:lang w:val="en-GB"/>
              </w:rPr>
              <w:t>100.0</w:t>
            </w:r>
          </w:p>
        </w:tc>
      </w:tr>
      <w:tr w:rsidR="00D44D67" w:rsidRPr="00DA6962" w:rsidTr="00CD5B55">
        <w:trPr>
          <w:cnfStyle w:val="000000100000"/>
          <w:jc w:val="center"/>
        </w:trPr>
        <w:tc>
          <w:tcPr>
            <w:cnfStyle w:val="001000000000"/>
            <w:tcW w:w="2093" w:type="dxa"/>
            <w:shd w:val="clear" w:color="auto" w:fill="FBD4B4" w:themeFill="accent6" w:themeFillTint="66"/>
          </w:tcPr>
          <w:p w:rsidR="00D44D67" w:rsidRPr="00DA6962" w:rsidRDefault="00D44D67" w:rsidP="00DA6962">
            <w:pPr>
              <w:keepNext/>
              <w:keepLines/>
              <w:rPr>
                <w:rFonts w:ascii="Arial" w:hAnsi="Arial" w:cs="Arial"/>
                <w:sz w:val="20"/>
                <w:szCs w:val="20"/>
                <w:lang w:val="en-GB"/>
              </w:rPr>
            </w:pPr>
            <w:proofErr w:type="spellStart"/>
            <w:r w:rsidRPr="00DA6962">
              <w:rPr>
                <w:rFonts w:ascii="Arial" w:hAnsi="Arial" w:cs="Arial"/>
                <w:sz w:val="20"/>
                <w:szCs w:val="20"/>
                <w:lang w:val="en-GB"/>
              </w:rPr>
              <w:t>Castill</w:t>
            </w:r>
            <w:r w:rsidR="00CD5B55" w:rsidRPr="00DA6962">
              <w:rPr>
                <w:rFonts w:ascii="Arial" w:hAnsi="Arial" w:cs="Arial"/>
                <w:sz w:val="20"/>
                <w:szCs w:val="20"/>
                <w:lang w:val="en-GB"/>
              </w:rPr>
              <w:t>e</w:t>
            </w:r>
            <w:proofErr w:type="spellEnd"/>
            <w:r w:rsidRPr="00DA6962">
              <w:rPr>
                <w:rFonts w:ascii="Arial" w:hAnsi="Arial" w:cs="Arial"/>
                <w:sz w:val="20"/>
                <w:szCs w:val="20"/>
                <w:lang w:val="en-GB"/>
              </w:rPr>
              <w:t xml:space="preserve"> </w:t>
            </w:r>
            <w:r w:rsidR="00CD5B55" w:rsidRPr="00DA6962">
              <w:rPr>
                <w:rFonts w:ascii="Arial" w:hAnsi="Arial" w:cs="Arial"/>
                <w:sz w:val="20"/>
                <w:szCs w:val="20"/>
                <w:lang w:val="en-GB"/>
              </w:rPr>
              <w:t xml:space="preserve">and </w:t>
            </w:r>
            <w:proofErr w:type="spellStart"/>
            <w:r w:rsidRPr="00DA6962">
              <w:rPr>
                <w:rFonts w:ascii="Arial" w:hAnsi="Arial" w:cs="Arial"/>
                <w:sz w:val="20"/>
                <w:szCs w:val="20"/>
                <w:lang w:val="en-GB"/>
              </w:rPr>
              <w:t>León</w:t>
            </w:r>
            <w:proofErr w:type="spellEnd"/>
          </w:p>
        </w:tc>
        <w:tc>
          <w:tcPr>
            <w:tcW w:w="1625" w:type="dxa"/>
            <w:shd w:val="clear" w:color="auto" w:fill="FBD4B4" w:themeFill="accent6" w:themeFillTint="66"/>
          </w:tcPr>
          <w:p w:rsidR="00D44D67" w:rsidRPr="00DA6962" w:rsidRDefault="00D44D67" w:rsidP="00DA6962">
            <w:pPr>
              <w:keepNext/>
              <w:keepLines/>
              <w:jc w:val="center"/>
              <w:cnfStyle w:val="000000100000"/>
              <w:rPr>
                <w:rFonts w:ascii="Arial" w:hAnsi="Arial" w:cs="Arial"/>
                <w:sz w:val="20"/>
                <w:szCs w:val="20"/>
                <w:lang w:val="en-GB"/>
              </w:rPr>
            </w:pPr>
            <w:r w:rsidRPr="00DA6962">
              <w:rPr>
                <w:rFonts w:ascii="Arial" w:hAnsi="Arial" w:cs="Arial"/>
                <w:sz w:val="20"/>
                <w:szCs w:val="20"/>
                <w:lang w:val="en-GB"/>
              </w:rPr>
              <w:t>79</w:t>
            </w:r>
            <w:r w:rsidR="0049329C" w:rsidRPr="00DA6962">
              <w:rPr>
                <w:rFonts w:ascii="Arial" w:hAnsi="Arial" w:cs="Arial"/>
                <w:sz w:val="20"/>
                <w:szCs w:val="20"/>
                <w:lang w:val="en-GB"/>
              </w:rPr>
              <w:t>.</w:t>
            </w:r>
            <w:r w:rsidRPr="00DA6962">
              <w:rPr>
                <w:rFonts w:ascii="Arial" w:hAnsi="Arial" w:cs="Arial"/>
                <w:sz w:val="20"/>
                <w:szCs w:val="20"/>
                <w:lang w:val="en-GB"/>
              </w:rPr>
              <w:t>7</w:t>
            </w:r>
          </w:p>
        </w:tc>
        <w:tc>
          <w:tcPr>
            <w:tcW w:w="1625" w:type="dxa"/>
            <w:shd w:val="clear" w:color="auto" w:fill="FBD4B4" w:themeFill="accent6" w:themeFillTint="66"/>
          </w:tcPr>
          <w:p w:rsidR="00D44D67" w:rsidRPr="00DA6962" w:rsidRDefault="00D44D67" w:rsidP="00DA6962">
            <w:pPr>
              <w:keepNext/>
              <w:keepLines/>
              <w:jc w:val="center"/>
              <w:cnfStyle w:val="000000100000"/>
              <w:rPr>
                <w:rFonts w:ascii="Arial" w:hAnsi="Arial" w:cs="Arial"/>
                <w:sz w:val="20"/>
                <w:szCs w:val="20"/>
                <w:lang w:val="en-GB"/>
              </w:rPr>
            </w:pPr>
            <w:r w:rsidRPr="00DA6962">
              <w:rPr>
                <w:rFonts w:ascii="Arial" w:hAnsi="Arial" w:cs="Arial"/>
                <w:sz w:val="20"/>
                <w:szCs w:val="20"/>
                <w:lang w:val="en-GB"/>
              </w:rPr>
              <w:t>29</w:t>
            </w:r>
            <w:r w:rsidR="0049329C" w:rsidRPr="00DA6962">
              <w:rPr>
                <w:rFonts w:ascii="Arial" w:hAnsi="Arial" w:cs="Arial"/>
                <w:sz w:val="20"/>
                <w:szCs w:val="20"/>
                <w:lang w:val="en-GB"/>
              </w:rPr>
              <w:t>.</w:t>
            </w:r>
            <w:r w:rsidRPr="00DA6962">
              <w:rPr>
                <w:rFonts w:ascii="Arial" w:hAnsi="Arial" w:cs="Arial"/>
                <w:sz w:val="20"/>
                <w:szCs w:val="20"/>
                <w:lang w:val="en-GB"/>
              </w:rPr>
              <w:t>7</w:t>
            </w:r>
          </w:p>
        </w:tc>
        <w:tc>
          <w:tcPr>
            <w:tcW w:w="1626" w:type="dxa"/>
            <w:shd w:val="clear" w:color="auto" w:fill="FBD4B4" w:themeFill="accent6" w:themeFillTint="66"/>
          </w:tcPr>
          <w:p w:rsidR="00D44D67" w:rsidRPr="00DA6962" w:rsidRDefault="00D44D67" w:rsidP="00DA6962">
            <w:pPr>
              <w:keepNext/>
              <w:keepLines/>
              <w:jc w:val="center"/>
              <w:cnfStyle w:val="000000100000"/>
              <w:rPr>
                <w:rFonts w:ascii="Arial" w:hAnsi="Arial" w:cs="Arial"/>
                <w:sz w:val="20"/>
                <w:szCs w:val="20"/>
                <w:lang w:val="en-GB"/>
              </w:rPr>
            </w:pPr>
            <w:r w:rsidRPr="00DA6962">
              <w:rPr>
                <w:rFonts w:ascii="Arial" w:hAnsi="Arial" w:cs="Arial"/>
                <w:sz w:val="20"/>
                <w:szCs w:val="20"/>
                <w:lang w:val="en-GB"/>
              </w:rPr>
              <w:t>109.4</w:t>
            </w:r>
          </w:p>
        </w:tc>
      </w:tr>
      <w:tr w:rsidR="00D44D67" w:rsidRPr="00DA6962" w:rsidTr="00CD5B55">
        <w:trPr>
          <w:jc w:val="center"/>
        </w:trPr>
        <w:tc>
          <w:tcPr>
            <w:cnfStyle w:val="001000000000"/>
            <w:tcW w:w="2093" w:type="dxa"/>
            <w:shd w:val="clear" w:color="auto" w:fill="FBD4B4" w:themeFill="accent6" w:themeFillTint="66"/>
          </w:tcPr>
          <w:p w:rsidR="00D44D67" w:rsidRPr="00DA6962" w:rsidRDefault="00D44D67" w:rsidP="00DA6962">
            <w:pPr>
              <w:keepNext/>
              <w:keepLines/>
              <w:rPr>
                <w:rFonts w:ascii="Arial" w:hAnsi="Arial" w:cs="Arial"/>
                <w:sz w:val="20"/>
                <w:szCs w:val="20"/>
                <w:lang w:val="en-GB"/>
              </w:rPr>
            </w:pPr>
            <w:r w:rsidRPr="00DA6962">
              <w:rPr>
                <w:rFonts w:ascii="Arial" w:hAnsi="Arial" w:cs="Arial"/>
                <w:sz w:val="20"/>
                <w:szCs w:val="20"/>
                <w:lang w:val="en-GB"/>
              </w:rPr>
              <w:t>Valencia</w:t>
            </w:r>
          </w:p>
        </w:tc>
        <w:tc>
          <w:tcPr>
            <w:tcW w:w="1625" w:type="dxa"/>
            <w:shd w:val="clear" w:color="auto" w:fill="FBD4B4" w:themeFill="accent6" w:themeFillTint="66"/>
          </w:tcPr>
          <w:p w:rsidR="00D44D67" w:rsidRPr="00DA6962" w:rsidRDefault="00D44D67" w:rsidP="00DA6962">
            <w:pPr>
              <w:keepNext/>
              <w:keepLines/>
              <w:jc w:val="center"/>
              <w:cnfStyle w:val="000000000000"/>
              <w:rPr>
                <w:rFonts w:ascii="Arial" w:hAnsi="Arial" w:cs="Arial"/>
                <w:sz w:val="20"/>
                <w:szCs w:val="20"/>
                <w:lang w:val="en-GB"/>
              </w:rPr>
            </w:pPr>
            <w:r w:rsidRPr="00DA6962">
              <w:rPr>
                <w:rFonts w:ascii="Arial" w:hAnsi="Arial" w:cs="Arial"/>
                <w:sz w:val="20"/>
                <w:szCs w:val="20"/>
                <w:lang w:val="en-GB"/>
              </w:rPr>
              <w:t>77</w:t>
            </w:r>
            <w:r w:rsidR="0049329C" w:rsidRPr="00DA6962">
              <w:rPr>
                <w:rFonts w:ascii="Arial" w:hAnsi="Arial" w:cs="Arial"/>
                <w:sz w:val="20"/>
                <w:szCs w:val="20"/>
                <w:lang w:val="en-GB"/>
              </w:rPr>
              <w:t>.</w:t>
            </w:r>
            <w:r w:rsidRPr="00DA6962">
              <w:rPr>
                <w:rFonts w:ascii="Arial" w:hAnsi="Arial" w:cs="Arial"/>
                <w:sz w:val="20"/>
                <w:szCs w:val="20"/>
                <w:lang w:val="en-GB"/>
              </w:rPr>
              <w:t>4</w:t>
            </w:r>
          </w:p>
        </w:tc>
        <w:tc>
          <w:tcPr>
            <w:tcW w:w="1625" w:type="dxa"/>
            <w:shd w:val="clear" w:color="auto" w:fill="FBD4B4" w:themeFill="accent6" w:themeFillTint="66"/>
          </w:tcPr>
          <w:p w:rsidR="00D44D67" w:rsidRPr="00DA6962" w:rsidRDefault="00D44D67" w:rsidP="00DA6962">
            <w:pPr>
              <w:keepNext/>
              <w:keepLines/>
              <w:jc w:val="center"/>
              <w:cnfStyle w:val="000000000000"/>
              <w:rPr>
                <w:rFonts w:ascii="Arial" w:hAnsi="Arial" w:cs="Arial"/>
                <w:sz w:val="20"/>
                <w:szCs w:val="20"/>
                <w:lang w:val="en-GB"/>
              </w:rPr>
            </w:pPr>
            <w:r w:rsidRPr="00DA6962">
              <w:rPr>
                <w:rFonts w:ascii="Arial" w:hAnsi="Arial" w:cs="Arial"/>
                <w:sz w:val="20"/>
                <w:szCs w:val="20"/>
                <w:lang w:val="en-GB"/>
              </w:rPr>
              <w:t>15</w:t>
            </w:r>
            <w:r w:rsidR="0049329C" w:rsidRPr="00DA6962">
              <w:rPr>
                <w:rFonts w:ascii="Arial" w:hAnsi="Arial" w:cs="Arial"/>
                <w:sz w:val="20"/>
                <w:szCs w:val="20"/>
                <w:lang w:val="en-GB"/>
              </w:rPr>
              <w:t>.</w:t>
            </w:r>
            <w:r w:rsidRPr="00DA6962">
              <w:rPr>
                <w:rFonts w:ascii="Arial" w:hAnsi="Arial" w:cs="Arial"/>
                <w:sz w:val="20"/>
                <w:szCs w:val="20"/>
                <w:lang w:val="en-GB"/>
              </w:rPr>
              <w:t>5</w:t>
            </w:r>
          </w:p>
        </w:tc>
        <w:tc>
          <w:tcPr>
            <w:tcW w:w="1626" w:type="dxa"/>
            <w:shd w:val="clear" w:color="auto" w:fill="FBD4B4" w:themeFill="accent6" w:themeFillTint="66"/>
          </w:tcPr>
          <w:p w:rsidR="00D44D67" w:rsidRPr="00DA6962" w:rsidRDefault="00D44D67" w:rsidP="00DA6962">
            <w:pPr>
              <w:keepNext/>
              <w:keepLines/>
              <w:jc w:val="center"/>
              <w:cnfStyle w:val="000000000000"/>
              <w:rPr>
                <w:rFonts w:ascii="Arial" w:hAnsi="Arial" w:cs="Arial"/>
                <w:sz w:val="20"/>
                <w:szCs w:val="20"/>
                <w:lang w:val="en-GB"/>
              </w:rPr>
            </w:pPr>
            <w:r w:rsidRPr="00DA6962">
              <w:rPr>
                <w:rFonts w:ascii="Arial" w:hAnsi="Arial" w:cs="Arial"/>
                <w:sz w:val="20"/>
                <w:szCs w:val="20"/>
                <w:lang w:val="en-GB"/>
              </w:rPr>
              <w:t>92</w:t>
            </w:r>
            <w:r w:rsidR="0049329C" w:rsidRPr="00DA6962">
              <w:rPr>
                <w:rFonts w:ascii="Arial" w:hAnsi="Arial" w:cs="Arial"/>
                <w:sz w:val="20"/>
                <w:szCs w:val="20"/>
                <w:lang w:val="en-GB"/>
              </w:rPr>
              <w:t>.</w:t>
            </w:r>
            <w:r w:rsidRPr="00DA6962">
              <w:rPr>
                <w:rFonts w:ascii="Arial" w:hAnsi="Arial" w:cs="Arial"/>
                <w:sz w:val="20"/>
                <w:szCs w:val="20"/>
                <w:lang w:val="en-GB"/>
              </w:rPr>
              <w:t>9</w:t>
            </w:r>
          </w:p>
        </w:tc>
      </w:tr>
      <w:tr w:rsidR="00D44D67" w:rsidRPr="00DA6962" w:rsidTr="00CD5B55">
        <w:trPr>
          <w:cnfStyle w:val="000000100000"/>
          <w:jc w:val="center"/>
        </w:trPr>
        <w:tc>
          <w:tcPr>
            <w:cnfStyle w:val="001000000000"/>
            <w:tcW w:w="2093" w:type="dxa"/>
            <w:shd w:val="clear" w:color="auto" w:fill="FBD4B4" w:themeFill="accent6" w:themeFillTint="66"/>
          </w:tcPr>
          <w:p w:rsidR="00D44D67" w:rsidRPr="00DA6962" w:rsidRDefault="00D44D67" w:rsidP="00DA6962">
            <w:pPr>
              <w:keepNext/>
              <w:keepLines/>
              <w:rPr>
                <w:rFonts w:ascii="Arial" w:hAnsi="Arial" w:cs="Arial"/>
                <w:sz w:val="20"/>
                <w:szCs w:val="20"/>
                <w:lang w:val="en-GB"/>
              </w:rPr>
            </w:pPr>
            <w:r w:rsidRPr="00DA6962">
              <w:rPr>
                <w:rFonts w:ascii="Arial" w:hAnsi="Arial" w:cs="Arial"/>
                <w:sz w:val="20"/>
                <w:szCs w:val="20"/>
                <w:lang w:val="en-GB"/>
              </w:rPr>
              <w:t>Murcia</w:t>
            </w:r>
          </w:p>
        </w:tc>
        <w:tc>
          <w:tcPr>
            <w:tcW w:w="1625" w:type="dxa"/>
            <w:shd w:val="clear" w:color="auto" w:fill="FBD4B4" w:themeFill="accent6" w:themeFillTint="66"/>
          </w:tcPr>
          <w:p w:rsidR="00D44D67" w:rsidRPr="00DA6962" w:rsidRDefault="00D44D67" w:rsidP="00DA6962">
            <w:pPr>
              <w:keepNext/>
              <w:keepLines/>
              <w:jc w:val="center"/>
              <w:cnfStyle w:val="000000100000"/>
              <w:rPr>
                <w:rFonts w:ascii="Arial" w:hAnsi="Arial" w:cs="Arial"/>
                <w:sz w:val="20"/>
                <w:szCs w:val="20"/>
                <w:lang w:val="en-GB"/>
              </w:rPr>
            </w:pPr>
            <w:r w:rsidRPr="00DA6962">
              <w:rPr>
                <w:rFonts w:ascii="Arial" w:hAnsi="Arial" w:cs="Arial"/>
                <w:sz w:val="20"/>
                <w:szCs w:val="20"/>
                <w:lang w:val="en-GB"/>
              </w:rPr>
              <w:t>72</w:t>
            </w:r>
            <w:r w:rsidR="0049329C" w:rsidRPr="00DA6962">
              <w:rPr>
                <w:rFonts w:ascii="Arial" w:hAnsi="Arial" w:cs="Arial"/>
                <w:sz w:val="20"/>
                <w:szCs w:val="20"/>
                <w:lang w:val="en-GB"/>
              </w:rPr>
              <w:t>.</w:t>
            </w:r>
            <w:r w:rsidRPr="00DA6962">
              <w:rPr>
                <w:rFonts w:ascii="Arial" w:hAnsi="Arial" w:cs="Arial"/>
                <w:sz w:val="20"/>
                <w:szCs w:val="20"/>
                <w:lang w:val="en-GB"/>
              </w:rPr>
              <w:t>4</w:t>
            </w:r>
          </w:p>
        </w:tc>
        <w:tc>
          <w:tcPr>
            <w:tcW w:w="1625" w:type="dxa"/>
            <w:shd w:val="clear" w:color="auto" w:fill="FBD4B4" w:themeFill="accent6" w:themeFillTint="66"/>
          </w:tcPr>
          <w:p w:rsidR="00D44D67" w:rsidRPr="00DA6962" w:rsidRDefault="00D44D67" w:rsidP="00DA6962">
            <w:pPr>
              <w:keepNext/>
              <w:keepLines/>
              <w:jc w:val="center"/>
              <w:cnfStyle w:val="000000100000"/>
              <w:rPr>
                <w:rFonts w:ascii="Arial" w:hAnsi="Arial" w:cs="Arial"/>
                <w:sz w:val="20"/>
                <w:szCs w:val="20"/>
                <w:lang w:val="en-GB"/>
              </w:rPr>
            </w:pPr>
            <w:r w:rsidRPr="00DA6962">
              <w:rPr>
                <w:rFonts w:ascii="Arial" w:hAnsi="Arial" w:cs="Arial"/>
                <w:sz w:val="20"/>
                <w:szCs w:val="20"/>
                <w:lang w:val="en-GB"/>
              </w:rPr>
              <w:t>22</w:t>
            </w:r>
            <w:r w:rsidR="0049329C" w:rsidRPr="00DA6962">
              <w:rPr>
                <w:rFonts w:ascii="Arial" w:hAnsi="Arial" w:cs="Arial"/>
                <w:sz w:val="20"/>
                <w:szCs w:val="20"/>
                <w:lang w:val="en-GB"/>
              </w:rPr>
              <w:t>.</w:t>
            </w:r>
            <w:r w:rsidRPr="00DA6962">
              <w:rPr>
                <w:rFonts w:ascii="Arial" w:hAnsi="Arial" w:cs="Arial"/>
                <w:sz w:val="20"/>
                <w:szCs w:val="20"/>
                <w:lang w:val="en-GB"/>
              </w:rPr>
              <w:t>9</w:t>
            </w:r>
          </w:p>
        </w:tc>
        <w:tc>
          <w:tcPr>
            <w:tcW w:w="1626" w:type="dxa"/>
            <w:shd w:val="clear" w:color="auto" w:fill="FBD4B4" w:themeFill="accent6" w:themeFillTint="66"/>
          </w:tcPr>
          <w:p w:rsidR="00D44D67" w:rsidRPr="00DA6962" w:rsidRDefault="00D44D67" w:rsidP="00DA6962">
            <w:pPr>
              <w:keepNext/>
              <w:keepLines/>
              <w:jc w:val="center"/>
              <w:cnfStyle w:val="000000100000"/>
              <w:rPr>
                <w:rFonts w:ascii="Arial" w:hAnsi="Arial" w:cs="Arial"/>
                <w:sz w:val="20"/>
                <w:szCs w:val="20"/>
                <w:lang w:val="en-GB"/>
              </w:rPr>
            </w:pPr>
            <w:r w:rsidRPr="00DA6962">
              <w:rPr>
                <w:rFonts w:ascii="Arial" w:hAnsi="Arial" w:cs="Arial"/>
                <w:sz w:val="20"/>
                <w:szCs w:val="20"/>
                <w:lang w:val="en-GB"/>
              </w:rPr>
              <w:t>95</w:t>
            </w:r>
            <w:r w:rsidR="0049329C" w:rsidRPr="00DA6962">
              <w:rPr>
                <w:rFonts w:ascii="Arial" w:hAnsi="Arial" w:cs="Arial"/>
                <w:sz w:val="20"/>
                <w:szCs w:val="20"/>
                <w:lang w:val="en-GB"/>
              </w:rPr>
              <w:t>.</w:t>
            </w:r>
            <w:r w:rsidRPr="00DA6962">
              <w:rPr>
                <w:rFonts w:ascii="Arial" w:hAnsi="Arial" w:cs="Arial"/>
                <w:sz w:val="20"/>
                <w:szCs w:val="20"/>
                <w:lang w:val="en-GB"/>
              </w:rPr>
              <w:t>3</w:t>
            </w:r>
          </w:p>
        </w:tc>
      </w:tr>
      <w:tr w:rsidR="00D44D67" w:rsidRPr="00DA6962" w:rsidTr="00CD5B55">
        <w:trPr>
          <w:jc w:val="center"/>
        </w:trPr>
        <w:tc>
          <w:tcPr>
            <w:cnfStyle w:val="001000000000"/>
            <w:tcW w:w="2093" w:type="dxa"/>
            <w:shd w:val="clear" w:color="auto" w:fill="FBD4B4" w:themeFill="accent6" w:themeFillTint="66"/>
          </w:tcPr>
          <w:p w:rsidR="00D44D67" w:rsidRPr="00DA6962" w:rsidRDefault="00D44D67" w:rsidP="00DA6962">
            <w:pPr>
              <w:keepNext/>
              <w:keepLines/>
              <w:rPr>
                <w:rFonts w:ascii="Arial" w:hAnsi="Arial" w:cs="Arial"/>
                <w:sz w:val="20"/>
                <w:szCs w:val="20"/>
                <w:lang w:val="en-GB"/>
              </w:rPr>
            </w:pPr>
            <w:r w:rsidRPr="00DA6962">
              <w:rPr>
                <w:rFonts w:ascii="Arial" w:hAnsi="Arial" w:cs="Arial"/>
                <w:sz w:val="20"/>
                <w:szCs w:val="20"/>
                <w:lang w:val="en-GB"/>
              </w:rPr>
              <w:t>Galicia</w:t>
            </w:r>
          </w:p>
        </w:tc>
        <w:tc>
          <w:tcPr>
            <w:tcW w:w="1625" w:type="dxa"/>
            <w:shd w:val="clear" w:color="auto" w:fill="FBD4B4" w:themeFill="accent6" w:themeFillTint="66"/>
          </w:tcPr>
          <w:p w:rsidR="00D44D67" w:rsidRPr="00DA6962" w:rsidRDefault="00D44D67" w:rsidP="00DA6962">
            <w:pPr>
              <w:keepNext/>
              <w:keepLines/>
              <w:jc w:val="center"/>
              <w:cnfStyle w:val="000000000000"/>
              <w:rPr>
                <w:rFonts w:ascii="Arial" w:hAnsi="Arial" w:cs="Arial"/>
                <w:sz w:val="20"/>
                <w:szCs w:val="20"/>
                <w:lang w:val="en-GB"/>
              </w:rPr>
            </w:pPr>
            <w:r w:rsidRPr="00DA6962">
              <w:rPr>
                <w:rFonts w:ascii="Arial" w:hAnsi="Arial" w:cs="Arial"/>
                <w:sz w:val="20"/>
                <w:szCs w:val="20"/>
                <w:lang w:val="en-GB"/>
              </w:rPr>
              <w:t>70</w:t>
            </w:r>
            <w:r w:rsidR="0049329C" w:rsidRPr="00DA6962">
              <w:rPr>
                <w:rFonts w:ascii="Arial" w:hAnsi="Arial" w:cs="Arial"/>
                <w:sz w:val="20"/>
                <w:szCs w:val="20"/>
                <w:lang w:val="en-GB"/>
              </w:rPr>
              <w:t>.</w:t>
            </w:r>
            <w:r w:rsidRPr="00DA6962">
              <w:rPr>
                <w:rFonts w:ascii="Arial" w:hAnsi="Arial" w:cs="Arial"/>
                <w:sz w:val="20"/>
                <w:szCs w:val="20"/>
                <w:lang w:val="en-GB"/>
              </w:rPr>
              <w:t>9</w:t>
            </w:r>
          </w:p>
        </w:tc>
        <w:tc>
          <w:tcPr>
            <w:tcW w:w="1625" w:type="dxa"/>
            <w:shd w:val="clear" w:color="auto" w:fill="FBD4B4" w:themeFill="accent6" w:themeFillTint="66"/>
          </w:tcPr>
          <w:p w:rsidR="00D44D67" w:rsidRPr="00DA6962" w:rsidRDefault="00D44D67" w:rsidP="00DA6962">
            <w:pPr>
              <w:keepNext/>
              <w:keepLines/>
              <w:jc w:val="center"/>
              <w:cnfStyle w:val="000000000000"/>
              <w:rPr>
                <w:rFonts w:ascii="Arial" w:hAnsi="Arial" w:cs="Arial"/>
                <w:sz w:val="20"/>
                <w:szCs w:val="20"/>
                <w:lang w:val="en-GB"/>
              </w:rPr>
            </w:pPr>
            <w:r w:rsidRPr="00DA6962">
              <w:rPr>
                <w:rFonts w:ascii="Arial" w:hAnsi="Arial" w:cs="Arial"/>
                <w:sz w:val="20"/>
                <w:szCs w:val="20"/>
                <w:lang w:val="en-GB"/>
              </w:rPr>
              <w:t>34</w:t>
            </w:r>
            <w:r w:rsidR="0049329C" w:rsidRPr="00DA6962">
              <w:rPr>
                <w:rFonts w:ascii="Arial" w:hAnsi="Arial" w:cs="Arial"/>
                <w:sz w:val="20"/>
                <w:szCs w:val="20"/>
                <w:lang w:val="en-GB"/>
              </w:rPr>
              <w:t>.</w:t>
            </w:r>
            <w:r w:rsidRPr="00DA6962">
              <w:rPr>
                <w:rFonts w:ascii="Arial" w:hAnsi="Arial" w:cs="Arial"/>
                <w:sz w:val="20"/>
                <w:szCs w:val="20"/>
                <w:lang w:val="en-GB"/>
              </w:rPr>
              <w:t>6</w:t>
            </w:r>
          </w:p>
        </w:tc>
        <w:tc>
          <w:tcPr>
            <w:tcW w:w="1626" w:type="dxa"/>
            <w:shd w:val="clear" w:color="auto" w:fill="FBD4B4" w:themeFill="accent6" w:themeFillTint="66"/>
          </w:tcPr>
          <w:p w:rsidR="00D44D67" w:rsidRPr="00DA6962" w:rsidRDefault="00D44D67" w:rsidP="00DA6962">
            <w:pPr>
              <w:keepNext/>
              <w:keepLines/>
              <w:jc w:val="center"/>
              <w:cnfStyle w:val="000000000000"/>
              <w:rPr>
                <w:rFonts w:ascii="Arial" w:hAnsi="Arial" w:cs="Arial"/>
                <w:sz w:val="20"/>
                <w:szCs w:val="20"/>
                <w:lang w:val="en-GB"/>
              </w:rPr>
            </w:pPr>
            <w:r w:rsidRPr="00DA6962">
              <w:rPr>
                <w:rFonts w:ascii="Arial" w:hAnsi="Arial" w:cs="Arial"/>
                <w:sz w:val="20"/>
                <w:szCs w:val="20"/>
                <w:lang w:val="en-GB"/>
              </w:rPr>
              <w:t>105</w:t>
            </w:r>
            <w:r w:rsidR="0049329C" w:rsidRPr="00DA6962">
              <w:rPr>
                <w:rFonts w:ascii="Arial" w:hAnsi="Arial" w:cs="Arial"/>
                <w:sz w:val="20"/>
                <w:szCs w:val="20"/>
                <w:lang w:val="en-GB"/>
              </w:rPr>
              <w:t>.</w:t>
            </w:r>
            <w:r w:rsidRPr="00DA6962">
              <w:rPr>
                <w:rFonts w:ascii="Arial" w:hAnsi="Arial" w:cs="Arial"/>
                <w:sz w:val="20"/>
                <w:szCs w:val="20"/>
                <w:lang w:val="en-GB"/>
              </w:rPr>
              <w:t>5</w:t>
            </w:r>
          </w:p>
        </w:tc>
      </w:tr>
      <w:tr w:rsidR="00D44D67" w:rsidRPr="00DA6962" w:rsidTr="00CD5B55">
        <w:trPr>
          <w:cnfStyle w:val="000000100000"/>
          <w:jc w:val="center"/>
        </w:trPr>
        <w:tc>
          <w:tcPr>
            <w:cnfStyle w:val="001000000000"/>
            <w:tcW w:w="2093" w:type="dxa"/>
            <w:shd w:val="clear" w:color="auto" w:fill="FBD4B4" w:themeFill="accent6" w:themeFillTint="66"/>
          </w:tcPr>
          <w:p w:rsidR="00D44D67" w:rsidRPr="00DA6962" w:rsidRDefault="00D44D67" w:rsidP="00DA6962">
            <w:pPr>
              <w:keepNext/>
              <w:keepLines/>
              <w:rPr>
                <w:rFonts w:ascii="Arial" w:hAnsi="Arial" w:cs="Arial"/>
                <w:sz w:val="20"/>
                <w:szCs w:val="20"/>
                <w:lang w:val="en-GB"/>
              </w:rPr>
            </w:pPr>
            <w:r w:rsidRPr="00DA6962">
              <w:rPr>
                <w:rFonts w:ascii="Arial" w:hAnsi="Arial" w:cs="Arial"/>
                <w:sz w:val="20"/>
                <w:szCs w:val="20"/>
                <w:lang w:val="en-GB"/>
              </w:rPr>
              <w:t>Andalucía</w:t>
            </w:r>
          </w:p>
        </w:tc>
        <w:tc>
          <w:tcPr>
            <w:tcW w:w="1625" w:type="dxa"/>
            <w:shd w:val="clear" w:color="auto" w:fill="FBD4B4" w:themeFill="accent6" w:themeFillTint="66"/>
          </w:tcPr>
          <w:p w:rsidR="00D44D67" w:rsidRPr="00DA6962" w:rsidRDefault="00D44D67" w:rsidP="00DA6962">
            <w:pPr>
              <w:keepNext/>
              <w:keepLines/>
              <w:jc w:val="center"/>
              <w:cnfStyle w:val="000000100000"/>
              <w:rPr>
                <w:rFonts w:ascii="Arial" w:hAnsi="Arial" w:cs="Arial"/>
                <w:sz w:val="20"/>
                <w:szCs w:val="20"/>
                <w:lang w:val="en-GB"/>
              </w:rPr>
            </w:pPr>
            <w:r w:rsidRPr="00DA6962">
              <w:rPr>
                <w:rFonts w:ascii="Arial" w:hAnsi="Arial" w:cs="Arial"/>
                <w:sz w:val="20"/>
                <w:szCs w:val="20"/>
                <w:lang w:val="en-GB"/>
              </w:rPr>
              <w:t>69</w:t>
            </w:r>
            <w:r w:rsidR="0049329C" w:rsidRPr="00DA6962">
              <w:rPr>
                <w:rFonts w:ascii="Arial" w:hAnsi="Arial" w:cs="Arial"/>
                <w:sz w:val="20"/>
                <w:szCs w:val="20"/>
                <w:lang w:val="en-GB"/>
              </w:rPr>
              <w:t>.</w:t>
            </w:r>
            <w:r w:rsidRPr="00DA6962">
              <w:rPr>
                <w:rFonts w:ascii="Arial" w:hAnsi="Arial" w:cs="Arial"/>
                <w:sz w:val="20"/>
                <w:szCs w:val="20"/>
                <w:lang w:val="en-GB"/>
              </w:rPr>
              <w:t>0</w:t>
            </w:r>
          </w:p>
        </w:tc>
        <w:tc>
          <w:tcPr>
            <w:tcW w:w="1625" w:type="dxa"/>
            <w:shd w:val="clear" w:color="auto" w:fill="FBD4B4" w:themeFill="accent6" w:themeFillTint="66"/>
          </w:tcPr>
          <w:p w:rsidR="00D44D67" w:rsidRPr="00DA6962" w:rsidRDefault="00D44D67" w:rsidP="00DA6962">
            <w:pPr>
              <w:keepNext/>
              <w:keepLines/>
              <w:jc w:val="center"/>
              <w:cnfStyle w:val="000000100000"/>
              <w:rPr>
                <w:rFonts w:ascii="Arial" w:hAnsi="Arial" w:cs="Arial"/>
                <w:sz w:val="20"/>
                <w:szCs w:val="20"/>
                <w:lang w:val="en-GB"/>
              </w:rPr>
            </w:pPr>
            <w:r w:rsidRPr="00DA6962">
              <w:rPr>
                <w:rFonts w:ascii="Arial" w:hAnsi="Arial" w:cs="Arial"/>
                <w:sz w:val="20"/>
                <w:szCs w:val="20"/>
                <w:lang w:val="en-GB"/>
              </w:rPr>
              <w:t>26</w:t>
            </w:r>
            <w:r w:rsidR="0049329C" w:rsidRPr="00DA6962">
              <w:rPr>
                <w:rFonts w:ascii="Arial" w:hAnsi="Arial" w:cs="Arial"/>
                <w:sz w:val="20"/>
                <w:szCs w:val="20"/>
                <w:lang w:val="en-GB"/>
              </w:rPr>
              <w:t>.</w:t>
            </w:r>
            <w:r w:rsidRPr="00DA6962">
              <w:rPr>
                <w:rFonts w:ascii="Arial" w:hAnsi="Arial" w:cs="Arial"/>
                <w:sz w:val="20"/>
                <w:szCs w:val="20"/>
                <w:lang w:val="en-GB"/>
              </w:rPr>
              <w:t>9</w:t>
            </w:r>
          </w:p>
        </w:tc>
        <w:tc>
          <w:tcPr>
            <w:tcW w:w="1626" w:type="dxa"/>
            <w:shd w:val="clear" w:color="auto" w:fill="FBD4B4" w:themeFill="accent6" w:themeFillTint="66"/>
          </w:tcPr>
          <w:p w:rsidR="00D44D67" w:rsidRPr="00DA6962" w:rsidRDefault="00D44D67" w:rsidP="00DA6962">
            <w:pPr>
              <w:keepNext/>
              <w:keepLines/>
              <w:jc w:val="center"/>
              <w:cnfStyle w:val="000000100000"/>
              <w:rPr>
                <w:rFonts w:ascii="Arial" w:hAnsi="Arial" w:cs="Arial"/>
                <w:sz w:val="20"/>
                <w:szCs w:val="20"/>
                <w:lang w:val="en-GB"/>
              </w:rPr>
            </w:pPr>
            <w:r w:rsidRPr="00DA6962">
              <w:rPr>
                <w:rFonts w:ascii="Arial" w:hAnsi="Arial" w:cs="Arial"/>
                <w:sz w:val="20"/>
                <w:szCs w:val="20"/>
                <w:lang w:val="en-GB"/>
              </w:rPr>
              <w:t>95</w:t>
            </w:r>
            <w:r w:rsidR="0049329C" w:rsidRPr="00DA6962">
              <w:rPr>
                <w:rFonts w:ascii="Arial" w:hAnsi="Arial" w:cs="Arial"/>
                <w:sz w:val="20"/>
                <w:szCs w:val="20"/>
                <w:lang w:val="en-GB"/>
              </w:rPr>
              <w:t>.</w:t>
            </w:r>
            <w:r w:rsidRPr="00DA6962">
              <w:rPr>
                <w:rFonts w:ascii="Arial" w:hAnsi="Arial" w:cs="Arial"/>
                <w:sz w:val="20"/>
                <w:szCs w:val="20"/>
                <w:lang w:val="en-GB"/>
              </w:rPr>
              <w:t>9</w:t>
            </w:r>
          </w:p>
        </w:tc>
      </w:tr>
      <w:tr w:rsidR="00D44D67" w:rsidRPr="00DA6962" w:rsidTr="00CD5B55">
        <w:trPr>
          <w:jc w:val="center"/>
        </w:trPr>
        <w:tc>
          <w:tcPr>
            <w:cnfStyle w:val="001000000000"/>
            <w:tcW w:w="2093" w:type="dxa"/>
            <w:shd w:val="clear" w:color="auto" w:fill="FBD4B4" w:themeFill="accent6" w:themeFillTint="66"/>
          </w:tcPr>
          <w:p w:rsidR="00D44D67" w:rsidRPr="00DA6962" w:rsidRDefault="00D44D67" w:rsidP="00DA6962">
            <w:pPr>
              <w:keepNext/>
              <w:keepLines/>
              <w:rPr>
                <w:rFonts w:ascii="Arial" w:hAnsi="Arial" w:cs="Arial"/>
                <w:sz w:val="20"/>
                <w:szCs w:val="20"/>
                <w:lang w:val="en-GB"/>
              </w:rPr>
            </w:pPr>
            <w:proofErr w:type="spellStart"/>
            <w:r w:rsidRPr="00DA6962">
              <w:rPr>
                <w:rFonts w:ascii="Arial" w:hAnsi="Arial" w:cs="Arial"/>
                <w:sz w:val="20"/>
                <w:szCs w:val="20"/>
                <w:lang w:val="en-GB"/>
              </w:rPr>
              <w:t>Castill</w:t>
            </w:r>
            <w:r w:rsidR="00CD5B55" w:rsidRPr="00DA6962">
              <w:rPr>
                <w:rFonts w:ascii="Arial" w:hAnsi="Arial" w:cs="Arial"/>
                <w:sz w:val="20"/>
                <w:szCs w:val="20"/>
                <w:lang w:val="en-GB"/>
              </w:rPr>
              <w:t>e</w:t>
            </w:r>
            <w:proofErr w:type="spellEnd"/>
            <w:r w:rsidRPr="00DA6962">
              <w:rPr>
                <w:rFonts w:ascii="Arial" w:hAnsi="Arial" w:cs="Arial"/>
                <w:sz w:val="20"/>
                <w:szCs w:val="20"/>
                <w:lang w:val="en-GB"/>
              </w:rPr>
              <w:t xml:space="preserve">-La </w:t>
            </w:r>
            <w:proofErr w:type="spellStart"/>
            <w:r w:rsidRPr="00DA6962">
              <w:rPr>
                <w:rFonts w:ascii="Arial" w:hAnsi="Arial" w:cs="Arial"/>
                <w:sz w:val="20"/>
                <w:szCs w:val="20"/>
                <w:lang w:val="en-GB"/>
              </w:rPr>
              <w:t>Mancha</w:t>
            </w:r>
            <w:proofErr w:type="spellEnd"/>
          </w:p>
        </w:tc>
        <w:tc>
          <w:tcPr>
            <w:tcW w:w="1625" w:type="dxa"/>
            <w:shd w:val="clear" w:color="auto" w:fill="FBD4B4" w:themeFill="accent6" w:themeFillTint="66"/>
          </w:tcPr>
          <w:p w:rsidR="00D44D67" w:rsidRPr="00DA6962" w:rsidRDefault="00D44D67" w:rsidP="00DA6962">
            <w:pPr>
              <w:keepNext/>
              <w:keepLines/>
              <w:jc w:val="center"/>
              <w:cnfStyle w:val="000000000000"/>
              <w:rPr>
                <w:rFonts w:ascii="Arial" w:hAnsi="Arial" w:cs="Arial"/>
                <w:sz w:val="20"/>
                <w:szCs w:val="20"/>
                <w:lang w:val="en-GB"/>
              </w:rPr>
            </w:pPr>
            <w:r w:rsidRPr="00DA6962">
              <w:rPr>
                <w:rFonts w:ascii="Arial" w:hAnsi="Arial" w:cs="Arial"/>
                <w:sz w:val="20"/>
                <w:szCs w:val="20"/>
                <w:lang w:val="en-GB"/>
              </w:rPr>
              <w:t>68</w:t>
            </w:r>
            <w:r w:rsidR="0049329C" w:rsidRPr="00DA6962">
              <w:rPr>
                <w:rFonts w:ascii="Arial" w:hAnsi="Arial" w:cs="Arial"/>
                <w:sz w:val="20"/>
                <w:szCs w:val="20"/>
                <w:lang w:val="en-GB"/>
              </w:rPr>
              <w:t>.</w:t>
            </w:r>
            <w:r w:rsidRPr="00DA6962">
              <w:rPr>
                <w:rFonts w:ascii="Arial" w:hAnsi="Arial" w:cs="Arial"/>
                <w:sz w:val="20"/>
                <w:szCs w:val="20"/>
                <w:lang w:val="en-GB"/>
              </w:rPr>
              <w:t>7</w:t>
            </w:r>
          </w:p>
        </w:tc>
        <w:tc>
          <w:tcPr>
            <w:tcW w:w="1625" w:type="dxa"/>
            <w:shd w:val="clear" w:color="auto" w:fill="FBD4B4" w:themeFill="accent6" w:themeFillTint="66"/>
          </w:tcPr>
          <w:p w:rsidR="00D44D67" w:rsidRPr="00DA6962" w:rsidRDefault="00D44D67" w:rsidP="00DA6962">
            <w:pPr>
              <w:keepNext/>
              <w:keepLines/>
              <w:jc w:val="center"/>
              <w:cnfStyle w:val="000000000000"/>
              <w:rPr>
                <w:rFonts w:ascii="Arial" w:hAnsi="Arial" w:cs="Arial"/>
                <w:sz w:val="20"/>
                <w:szCs w:val="20"/>
                <w:lang w:val="en-GB"/>
              </w:rPr>
            </w:pPr>
            <w:r w:rsidRPr="00DA6962">
              <w:rPr>
                <w:rFonts w:ascii="Arial" w:hAnsi="Arial" w:cs="Arial"/>
                <w:sz w:val="20"/>
                <w:szCs w:val="20"/>
                <w:lang w:val="en-GB"/>
              </w:rPr>
              <w:t>30</w:t>
            </w:r>
            <w:r w:rsidR="00754CB1" w:rsidRPr="00DA6962">
              <w:rPr>
                <w:rFonts w:ascii="Arial" w:hAnsi="Arial" w:cs="Arial"/>
                <w:sz w:val="20"/>
                <w:szCs w:val="20"/>
                <w:lang w:val="en-GB"/>
              </w:rPr>
              <w:t>.0</w:t>
            </w:r>
          </w:p>
        </w:tc>
        <w:tc>
          <w:tcPr>
            <w:tcW w:w="1626" w:type="dxa"/>
            <w:shd w:val="clear" w:color="auto" w:fill="FBD4B4" w:themeFill="accent6" w:themeFillTint="66"/>
          </w:tcPr>
          <w:p w:rsidR="00D44D67" w:rsidRPr="00DA6962" w:rsidRDefault="00D44D67" w:rsidP="00DA6962">
            <w:pPr>
              <w:keepNext/>
              <w:keepLines/>
              <w:jc w:val="center"/>
              <w:cnfStyle w:val="000000000000"/>
              <w:rPr>
                <w:rFonts w:ascii="Arial" w:hAnsi="Arial" w:cs="Arial"/>
                <w:sz w:val="20"/>
                <w:szCs w:val="20"/>
                <w:lang w:val="en-GB"/>
              </w:rPr>
            </w:pPr>
            <w:r w:rsidRPr="00DA6962">
              <w:rPr>
                <w:rFonts w:ascii="Arial" w:hAnsi="Arial" w:cs="Arial"/>
                <w:sz w:val="20"/>
                <w:szCs w:val="20"/>
                <w:lang w:val="en-GB"/>
              </w:rPr>
              <w:t>98</w:t>
            </w:r>
            <w:r w:rsidR="0049329C" w:rsidRPr="00DA6962">
              <w:rPr>
                <w:rFonts w:ascii="Arial" w:hAnsi="Arial" w:cs="Arial"/>
                <w:sz w:val="20"/>
                <w:szCs w:val="20"/>
                <w:lang w:val="en-GB"/>
              </w:rPr>
              <w:t>.</w:t>
            </w:r>
            <w:r w:rsidRPr="00DA6962">
              <w:rPr>
                <w:rFonts w:ascii="Arial" w:hAnsi="Arial" w:cs="Arial"/>
                <w:sz w:val="20"/>
                <w:szCs w:val="20"/>
                <w:lang w:val="en-GB"/>
              </w:rPr>
              <w:t>7</w:t>
            </w:r>
          </w:p>
        </w:tc>
      </w:tr>
      <w:tr w:rsidR="00D44D67" w:rsidRPr="00DA6962" w:rsidTr="00CD5B55">
        <w:trPr>
          <w:cnfStyle w:val="000000100000"/>
          <w:jc w:val="center"/>
        </w:trPr>
        <w:tc>
          <w:tcPr>
            <w:cnfStyle w:val="001000000000"/>
            <w:tcW w:w="2093" w:type="dxa"/>
            <w:shd w:val="clear" w:color="auto" w:fill="FBD4B4" w:themeFill="accent6" w:themeFillTint="66"/>
          </w:tcPr>
          <w:p w:rsidR="00D44D67" w:rsidRPr="00DA6962" w:rsidRDefault="00D44D67" w:rsidP="00DA6962">
            <w:pPr>
              <w:keepNext/>
              <w:keepLines/>
              <w:rPr>
                <w:rFonts w:ascii="Arial" w:hAnsi="Arial" w:cs="Arial"/>
                <w:sz w:val="20"/>
                <w:szCs w:val="20"/>
                <w:lang w:val="en-GB"/>
              </w:rPr>
            </w:pPr>
            <w:r w:rsidRPr="00DA6962">
              <w:rPr>
                <w:rFonts w:ascii="Arial" w:hAnsi="Arial" w:cs="Arial"/>
                <w:sz w:val="20"/>
                <w:szCs w:val="20"/>
                <w:lang w:val="en-GB"/>
              </w:rPr>
              <w:t>Extremadura</w:t>
            </w:r>
          </w:p>
        </w:tc>
        <w:tc>
          <w:tcPr>
            <w:tcW w:w="1625" w:type="dxa"/>
            <w:shd w:val="clear" w:color="auto" w:fill="FBD4B4" w:themeFill="accent6" w:themeFillTint="66"/>
          </w:tcPr>
          <w:p w:rsidR="00D44D67" w:rsidRPr="00DA6962" w:rsidRDefault="00D44D67" w:rsidP="00DA6962">
            <w:pPr>
              <w:keepNext/>
              <w:keepLines/>
              <w:jc w:val="center"/>
              <w:cnfStyle w:val="000000100000"/>
              <w:rPr>
                <w:rFonts w:ascii="Arial" w:hAnsi="Arial" w:cs="Arial"/>
                <w:sz w:val="20"/>
                <w:szCs w:val="20"/>
                <w:lang w:val="en-GB"/>
              </w:rPr>
            </w:pPr>
            <w:r w:rsidRPr="00DA6962">
              <w:rPr>
                <w:rFonts w:ascii="Arial" w:hAnsi="Arial" w:cs="Arial"/>
                <w:sz w:val="20"/>
                <w:szCs w:val="20"/>
                <w:lang w:val="en-GB"/>
              </w:rPr>
              <w:t>60</w:t>
            </w:r>
            <w:r w:rsidR="0049329C" w:rsidRPr="00DA6962">
              <w:rPr>
                <w:rFonts w:ascii="Arial" w:hAnsi="Arial" w:cs="Arial"/>
                <w:sz w:val="20"/>
                <w:szCs w:val="20"/>
                <w:lang w:val="en-GB"/>
              </w:rPr>
              <w:t>.</w:t>
            </w:r>
            <w:r w:rsidRPr="00DA6962">
              <w:rPr>
                <w:rFonts w:ascii="Arial" w:hAnsi="Arial" w:cs="Arial"/>
                <w:sz w:val="20"/>
                <w:szCs w:val="20"/>
                <w:lang w:val="en-GB"/>
              </w:rPr>
              <w:t>4</w:t>
            </w:r>
          </w:p>
        </w:tc>
        <w:tc>
          <w:tcPr>
            <w:tcW w:w="1625" w:type="dxa"/>
            <w:shd w:val="clear" w:color="auto" w:fill="FBD4B4" w:themeFill="accent6" w:themeFillTint="66"/>
          </w:tcPr>
          <w:p w:rsidR="00D44D67" w:rsidRPr="00DA6962" w:rsidRDefault="00D44D67" w:rsidP="00DA6962">
            <w:pPr>
              <w:keepNext/>
              <w:keepLines/>
              <w:jc w:val="center"/>
              <w:cnfStyle w:val="000000100000"/>
              <w:rPr>
                <w:rFonts w:ascii="Arial" w:hAnsi="Arial" w:cs="Arial"/>
                <w:sz w:val="20"/>
                <w:szCs w:val="20"/>
                <w:lang w:val="en-GB"/>
              </w:rPr>
            </w:pPr>
            <w:r w:rsidRPr="00DA6962">
              <w:rPr>
                <w:rFonts w:ascii="Arial" w:hAnsi="Arial" w:cs="Arial"/>
                <w:sz w:val="20"/>
                <w:szCs w:val="20"/>
                <w:lang w:val="en-GB"/>
              </w:rPr>
              <w:t>52</w:t>
            </w:r>
            <w:r w:rsidR="0049329C" w:rsidRPr="00DA6962">
              <w:rPr>
                <w:rFonts w:ascii="Arial" w:hAnsi="Arial" w:cs="Arial"/>
                <w:sz w:val="20"/>
                <w:szCs w:val="20"/>
                <w:lang w:val="en-GB"/>
              </w:rPr>
              <w:t>.</w:t>
            </w:r>
            <w:r w:rsidRPr="00DA6962">
              <w:rPr>
                <w:rFonts w:ascii="Arial" w:hAnsi="Arial" w:cs="Arial"/>
                <w:sz w:val="20"/>
                <w:szCs w:val="20"/>
                <w:lang w:val="en-GB"/>
              </w:rPr>
              <w:t>6</w:t>
            </w:r>
          </w:p>
        </w:tc>
        <w:tc>
          <w:tcPr>
            <w:tcW w:w="1626" w:type="dxa"/>
            <w:shd w:val="clear" w:color="auto" w:fill="FBD4B4" w:themeFill="accent6" w:themeFillTint="66"/>
          </w:tcPr>
          <w:p w:rsidR="00D44D67" w:rsidRPr="00DA6962" w:rsidRDefault="00D44D67" w:rsidP="00DA6962">
            <w:pPr>
              <w:keepNext/>
              <w:keepLines/>
              <w:jc w:val="center"/>
              <w:cnfStyle w:val="000000100000"/>
              <w:rPr>
                <w:rFonts w:ascii="Arial" w:hAnsi="Arial" w:cs="Arial"/>
                <w:sz w:val="20"/>
                <w:szCs w:val="20"/>
                <w:lang w:val="en-GB"/>
              </w:rPr>
            </w:pPr>
            <w:r w:rsidRPr="00DA6962">
              <w:rPr>
                <w:rFonts w:ascii="Arial" w:hAnsi="Arial" w:cs="Arial"/>
                <w:sz w:val="20"/>
                <w:szCs w:val="20"/>
                <w:lang w:val="en-GB"/>
              </w:rPr>
              <w:t>113</w:t>
            </w:r>
            <w:r w:rsidR="0049329C" w:rsidRPr="00DA6962">
              <w:rPr>
                <w:rFonts w:ascii="Arial" w:hAnsi="Arial" w:cs="Arial"/>
                <w:sz w:val="20"/>
                <w:szCs w:val="20"/>
                <w:lang w:val="en-GB"/>
              </w:rPr>
              <w:t>.</w:t>
            </w:r>
            <w:r w:rsidRPr="00DA6962">
              <w:rPr>
                <w:rFonts w:ascii="Arial" w:hAnsi="Arial" w:cs="Arial"/>
                <w:sz w:val="20"/>
                <w:szCs w:val="20"/>
                <w:lang w:val="en-GB"/>
              </w:rPr>
              <w:t>0</w:t>
            </w:r>
          </w:p>
        </w:tc>
      </w:tr>
      <w:tr w:rsidR="00D44D67" w:rsidRPr="00DA6962" w:rsidTr="00CD5B55">
        <w:trPr>
          <w:jc w:val="center"/>
        </w:trPr>
        <w:tc>
          <w:tcPr>
            <w:cnfStyle w:val="001000000000"/>
            <w:tcW w:w="2093" w:type="dxa"/>
            <w:shd w:val="clear" w:color="auto" w:fill="FBD4B4" w:themeFill="accent6" w:themeFillTint="66"/>
          </w:tcPr>
          <w:p w:rsidR="00D44D67" w:rsidRPr="00DA6962" w:rsidRDefault="00CD02C5" w:rsidP="00DA6962">
            <w:pPr>
              <w:keepNext/>
              <w:keepLines/>
              <w:rPr>
                <w:rFonts w:ascii="Arial" w:hAnsi="Arial" w:cs="Arial"/>
                <w:sz w:val="20"/>
                <w:szCs w:val="20"/>
                <w:lang w:val="en-GB"/>
              </w:rPr>
            </w:pPr>
            <w:r w:rsidRPr="00DA6962">
              <w:rPr>
                <w:rFonts w:ascii="Arial" w:hAnsi="Arial" w:cs="Arial"/>
                <w:sz w:val="20"/>
                <w:szCs w:val="20"/>
                <w:lang w:val="en-GB"/>
              </w:rPr>
              <w:t>Canary Islands</w:t>
            </w:r>
            <w:r w:rsidR="00CD5B55" w:rsidRPr="00DA6962">
              <w:rPr>
                <w:rFonts w:ascii="Arial" w:hAnsi="Arial" w:cs="Arial"/>
                <w:sz w:val="20"/>
                <w:szCs w:val="20"/>
                <w:vertAlign w:val="superscript"/>
                <w:lang w:val="en-GB"/>
              </w:rPr>
              <w:t>1</w:t>
            </w:r>
          </w:p>
        </w:tc>
        <w:tc>
          <w:tcPr>
            <w:tcW w:w="1625" w:type="dxa"/>
            <w:shd w:val="clear" w:color="auto" w:fill="FBD4B4" w:themeFill="accent6" w:themeFillTint="66"/>
          </w:tcPr>
          <w:p w:rsidR="00D44D67" w:rsidRPr="00DA6962" w:rsidRDefault="00D44D67" w:rsidP="00DA6962">
            <w:pPr>
              <w:keepNext/>
              <w:keepLines/>
              <w:jc w:val="center"/>
              <w:cnfStyle w:val="000000000000"/>
              <w:rPr>
                <w:rFonts w:ascii="Arial" w:hAnsi="Arial" w:cs="Arial"/>
                <w:sz w:val="20"/>
                <w:szCs w:val="20"/>
                <w:lang w:val="en-GB"/>
              </w:rPr>
            </w:pPr>
            <w:r w:rsidRPr="00DA6962">
              <w:rPr>
                <w:rFonts w:ascii="Arial" w:hAnsi="Arial" w:cs="Arial"/>
                <w:sz w:val="20"/>
                <w:szCs w:val="20"/>
                <w:lang w:val="en-GB"/>
              </w:rPr>
              <w:t>43</w:t>
            </w:r>
            <w:r w:rsidR="0049329C" w:rsidRPr="00DA6962">
              <w:rPr>
                <w:rFonts w:ascii="Arial" w:hAnsi="Arial" w:cs="Arial"/>
                <w:sz w:val="20"/>
                <w:szCs w:val="20"/>
                <w:lang w:val="en-GB"/>
              </w:rPr>
              <w:t>.</w:t>
            </w:r>
            <w:r w:rsidRPr="00DA6962">
              <w:rPr>
                <w:rFonts w:ascii="Arial" w:hAnsi="Arial" w:cs="Arial"/>
                <w:sz w:val="20"/>
                <w:szCs w:val="20"/>
                <w:lang w:val="en-GB"/>
              </w:rPr>
              <w:t>5</w:t>
            </w:r>
            <w:r w:rsidR="00A57889" w:rsidRPr="00DA6962">
              <w:rPr>
                <w:rFonts w:ascii="Arial" w:hAnsi="Arial" w:cs="Arial"/>
                <w:sz w:val="20"/>
                <w:szCs w:val="20"/>
                <w:lang w:val="en-GB"/>
              </w:rPr>
              <w:t>1</w:t>
            </w:r>
          </w:p>
        </w:tc>
        <w:tc>
          <w:tcPr>
            <w:tcW w:w="1625" w:type="dxa"/>
            <w:shd w:val="clear" w:color="auto" w:fill="FBD4B4" w:themeFill="accent6" w:themeFillTint="66"/>
          </w:tcPr>
          <w:p w:rsidR="00D44D67" w:rsidRPr="00DA6962" w:rsidRDefault="00D44D67" w:rsidP="00DA6962">
            <w:pPr>
              <w:keepNext/>
              <w:keepLines/>
              <w:jc w:val="center"/>
              <w:cnfStyle w:val="000000000000"/>
              <w:rPr>
                <w:rFonts w:ascii="Arial" w:hAnsi="Arial" w:cs="Arial"/>
                <w:sz w:val="20"/>
                <w:szCs w:val="20"/>
                <w:lang w:val="en-GB"/>
              </w:rPr>
            </w:pPr>
            <w:r w:rsidRPr="00DA6962">
              <w:rPr>
                <w:rFonts w:ascii="Arial" w:hAnsi="Arial" w:cs="Arial"/>
                <w:sz w:val="20"/>
                <w:szCs w:val="20"/>
                <w:lang w:val="en-GB"/>
              </w:rPr>
              <w:t>51</w:t>
            </w:r>
            <w:r w:rsidR="0049329C" w:rsidRPr="00DA6962">
              <w:rPr>
                <w:rFonts w:ascii="Arial" w:hAnsi="Arial" w:cs="Arial"/>
                <w:sz w:val="20"/>
                <w:szCs w:val="20"/>
                <w:lang w:val="en-GB"/>
              </w:rPr>
              <w:t>.</w:t>
            </w:r>
            <w:r w:rsidRPr="00DA6962">
              <w:rPr>
                <w:rFonts w:ascii="Arial" w:hAnsi="Arial" w:cs="Arial"/>
                <w:sz w:val="20"/>
                <w:szCs w:val="20"/>
                <w:lang w:val="en-GB"/>
              </w:rPr>
              <w:t>8</w:t>
            </w:r>
          </w:p>
        </w:tc>
        <w:tc>
          <w:tcPr>
            <w:tcW w:w="1626" w:type="dxa"/>
            <w:shd w:val="clear" w:color="auto" w:fill="FBD4B4" w:themeFill="accent6" w:themeFillTint="66"/>
          </w:tcPr>
          <w:p w:rsidR="00D44D67" w:rsidRPr="00DA6962" w:rsidRDefault="00D44D67" w:rsidP="00DA6962">
            <w:pPr>
              <w:keepNext/>
              <w:keepLines/>
              <w:jc w:val="center"/>
              <w:cnfStyle w:val="000000000000"/>
              <w:rPr>
                <w:rFonts w:ascii="Arial" w:hAnsi="Arial" w:cs="Arial"/>
                <w:sz w:val="20"/>
                <w:szCs w:val="20"/>
                <w:lang w:val="en-GB"/>
              </w:rPr>
            </w:pPr>
            <w:r w:rsidRPr="00DA6962">
              <w:rPr>
                <w:rFonts w:ascii="Arial" w:hAnsi="Arial" w:cs="Arial"/>
                <w:sz w:val="20"/>
                <w:szCs w:val="20"/>
                <w:lang w:val="en-GB"/>
              </w:rPr>
              <w:t>95</w:t>
            </w:r>
            <w:r w:rsidR="0049329C" w:rsidRPr="00DA6962">
              <w:rPr>
                <w:rFonts w:ascii="Arial" w:hAnsi="Arial" w:cs="Arial"/>
                <w:sz w:val="20"/>
                <w:szCs w:val="20"/>
                <w:lang w:val="en-GB"/>
              </w:rPr>
              <w:t>.</w:t>
            </w:r>
            <w:r w:rsidRPr="00DA6962">
              <w:rPr>
                <w:rFonts w:ascii="Arial" w:hAnsi="Arial" w:cs="Arial"/>
                <w:sz w:val="20"/>
                <w:szCs w:val="20"/>
                <w:lang w:val="en-GB"/>
              </w:rPr>
              <w:t>3</w:t>
            </w:r>
          </w:p>
        </w:tc>
      </w:tr>
    </w:tbl>
    <w:p w:rsidR="00405A39" w:rsidRPr="00DA6962" w:rsidRDefault="000236E9" w:rsidP="00DA6962">
      <w:pPr>
        <w:keepNext/>
        <w:keepLines/>
        <w:spacing w:after="0" w:line="240" w:lineRule="auto"/>
        <w:ind w:left="708"/>
        <w:rPr>
          <w:rFonts w:ascii="Arial" w:hAnsi="Arial" w:cs="Arial"/>
          <w:sz w:val="20"/>
          <w:szCs w:val="20"/>
          <w:lang w:val="en-GB"/>
        </w:rPr>
      </w:pPr>
      <w:r w:rsidRPr="00DA6962">
        <w:rPr>
          <w:rFonts w:ascii="Arial" w:hAnsi="Arial" w:cs="Arial"/>
          <w:sz w:val="20"/>
          <w:szCs w:val="20"/>
          <w:lang w:val="en-GB"/>
        </w:rPr>
        <w:t xml:space="preserve">Source: De la </w:t>
      </w:r>
      <w:proofErr w:type="spellStart"/>
      <w:r w:rsidRPr="00DA6962">
        <w:rPr>
          <w:rFonts w:ascii="Arial" w:hAnsi="Arial" w:cs="Arial"/>
          <w:sz w:val="20"/>
          <w:szCs w:val="20"/>
          <w:lang w:val="en-GB"/>
        </w:rPr>
        <w:t>Fuente</w:t>
      </w:r>
      <w:proofErr w:type="spellEnd"/>
      <w:r w:rsidRPr="00DA6962">
        <w:rPr>
          <w:rFonts w:ascii="Arial" w:hAnsi="Arial" w:cs="Arial"/>
          <w:sz w:val="20"/>
          <w:szCs w:val="20"/>
          <w:lang w:val="en-GB"/>
        </w:rPr>
        <w:t xml:space="preserve"> (2012)</w:t>
      </w:r>
    </w:p>
    <w:p w:rsidR="00405A39" w:rsidRPr="00DA6962" w:rsidRDefault="00CD02C5" w:rsidP="00DA6962">
      <w:pPr>
        <w:keepNext/>
        <w:keepLines/>
        <w:spacing w:after="0" w:line="240" w:lineRule="auto"/>
        <w:ind w:left="708"/>
        <w:rPr>
          <w:rFonts w:ascii="Arial" w:hAnsi="Arial" w:cs="Arial"/>
          <w:sz w:val="20"/>
          <w:szCs w:val="20"/>
          <w:lang w:val="en-GB"/>
        </w:rPr>
      </w:pPr>
      <w:r w:rsidRPr="00DA6962">
        <w:rPr>
          <w:rFonts w:ascii="Arial" w:hAnsi="Arial" w:cs="Arial"/>
          <w:sz w:val="20"/>
          <w:szCs w:val="20"/>
          <w:vertAlign w:val="superscript"/>
          <w:lang w:val="en-GB"/>
        </w:rPr>
        <w:t>1</w:t>
      </w:r>
      <w:r w:rsidR="00A57889" w:rsidRPr="00DA6962">
        <w:rPr>
          <w:rFonts w:ascii="Arial" w:hAnsi="Arial" w:cs="Arial"/>
          <w:sz w:val="20"/>
          <w:szCs w:val="20"/>
          <w:lang w:val="en-GB"/>
        </w:rPr>
        <w:t xml:space="preserve"> </w:t>
      </w:r>
      <w:r w:rsidR="00CD5B55" w:rsidRPr="00DA6962">
        <w:rPr>
          <w:rFonts w:ascii="Arial" w:hAnsi="Arial" w:cs="Arial"/>
          <w:sz w:val="20"/>
          <w:szCs w:val="20"/>
          <w:lang w:val="en-GB"/>
        </w:rPr>
        <w:t xml:space="preserve">The financing of the Canary Islands has certain peculiarities that do not allow a comparison between </w:t>
      </w:r>
      <w:r w:rsidRPr="00DA6962">
        <w:rPr>
          <w:rFonts w:ascii="Arial" w:hAnsi="Arial" w:cs="Arial"/>
          <w:sz w:val="20"/>
          <w:szCs w:val="20"/>
          <w:lang w:val="en-GB"/>
        </w:rPr>
        <w:t xml:space="preserve">its </w:t>
      </w:r>
      <w:r w:rsidR="00CD5B55" w:rsidRPr="00DA6962">
        <w:rPr>
          <w:rFonts w:ascii="Arial" w:hAnsi="Arial" w:cs="Arial"/>
          <w:sz w:val="20"/>
          <w:szCs w:val="20"/>
          <w:lang w:val="en-GB"/>
        </w:rPr>
        <w:t xml:space="preserve">fiscal </w:t>
      </w:r>
      <w:r w:rsidRPr="00DA6962">
        <w:rPr>
          <w:rFonts w:ascii="Arial" w:hAnsi="Arial" w:cs="Arial"/>
          <w:sz w:val="20"/>
          <w:szCs w:val="20"/>
          <w:lang w:val="en-GB"/>
        </w:rPr>
        <w:t xml:space="preserve">ability </w:t>
      </w:r>
      <w:r w:rsidR="00CD5B55" w:rsidRPr="00DA6962">
        <w:rPr>
          <w:rFonts w:ascii="Arial" w:hAnsi="Arial" w:cs="Arial"/>
          <w:sz w:val="20"/>
          <w:szCs w:val="20"/>
          <w:lang w:val="en-GB"/>
        </w:rPr>
        <w:t>and the ones of the other</w:t>
      </w:r>
      <w:r w:rsidRPr="00DA6962">
        <w:rPr>
          <w:rFonts w:ascii="Arial" w:hAnsi="Arial" w:cs="Arial"/>
          <w:sz w:val="20"/>
          <w:szCs w:val="20"/>
          <w:lang w:val="en-GB"/>
        </w:rPr>
        <w:t xml:space="preserve"> ACs</w:t>
      </w:r>
      <w:r w:rsidR="00CD5B55" w:rsidRPr="00DA6962">
        <w:rPr>
          <w:rFonts w:ascii="Arial" w:hAnsi="Arial" w:cs="Arial"/>
          <w:sz w:val="20"/>
          <w:szCs w:val="20"/>
          <w:lang w:val="en-GB"/>
        </w:rPr>
        <w:t>.</w:t>
      </w:r>
      <w:r w:rsidR="007C33BB" w:rsidRPr="00DA6962">
        <w:rPr>
          <w:rFonts w:ascii="Arial" w:hAnsi="Arial" w:cs="Arial"/>
          <w:sz w:val="20"/>
          <w:szCs w:val="20"/>
          <w:lang w:val="en-GB"/>
        </w:rPr>
        <w:t xml:space="preserve"> </w:t>
      </w:r>
    </w:p>
    <w:p w:rsidR="00B67ADC" w:rsidRPr="00DA6962" w:rsidRDefault="00B67ADC" w:rsidP="00DA6962">
      <w:pPr>
        <w:spacing w:after="0" w:line="240" w:lineRule="auto"/>
        <w:rPr>
          <w:rFonts w:ascii="Arial" w:hAnsi="Arial" w:cs="Arial"/>
          <w:sz w:val="20"/>
          <w:szCs w:val="20"/>
          <w:lang w:val="en-GB"/>
        </w:rPr>
      </w:pPr>
    </w:p>
    <w:p w:rsidR="006A0088" w:rsidRPr="00DA6962" w:rsidRDefault="00BD1686" w:rsidP="00DA6962">
      <w:pPr>
        <w:pStyle w:val="Title"/>
        <w:numPr>
          <w:ilvl w:val="0"/>
          <w:numId w:val="4"/>
        </w:numPr>
        <w:spacing w:line="240" w:lineRule="auto"/>
        <w:rPr>
          <w:rFonts w:cs="Arial"/>
          <w:sz w:val="20"/>
          <w:szCs w:val="20"/>
          <w:lang w:val="en-GB"/>
        </w:rPr>
      </w:pPr>
      <w:r w:rsidRPr="00DA6962">
        <w:rPr>
          <w:rFonts w:cs="Arial"/>
          <w:sz w:val="20"/>
          <w:szCs w:val="20"/>
          <w:lang w:val="en-GB"/>
        </w:rPr>
        <w:t xml:space="preserve">What </w:t>
      </w:r>
      <w:r w:rsidR="00EF348C">
        <w:rPr>
          <w:rFonts w:cs="Arial"/>
          <w:sz w:val="20"/>
          <w:szCs w:val="20"/>
          <w:lang w:val="en-GB"/>
        </w:rPr>
        <w:t>C</w:t>
      </w:r>
      <w:r w:rsidRPr="00DA6962">
        <w:rPr>
          <w:rFonts w:cs="Arial"/>
          <w:sz w:val="20"/>
          <w:szCs w:val="20"/>
          <w:lang w:val="en-GB"/>
        </w:rPr>
        <w:t xml:space="preserve">an </w:t>
      </w:r>
      <w:r w:rsidR="00EF348C">
        <w:rPr>
          <w:rFonts w:cs="Arial"/>
          <w:sz w:val="20"/>
          <w:szCs w:val="20"/>
          <w:lang w:val="en-GB"/>
        </w:rPr>
        <w:t>B</w:t>
      </w:r>
      <w:r w:rsidRPr="00DA6962">
        <w:rPr>
          <w:rFonts w:cs="Arial"/>
          <w:sz w:val="20"/>
          <w:szCs w:val="20"/>
          <w:lang w:val="en-GB"/>
        </w:rPr>
        <w:t xml:space="preserve">e </w:t>
      </w:r>
      <w:proofErr w:type="gramStart"/>
      <w:r w:rsidR="00EF348C">
        <w:rPr>
          <w:rFonts w:cs="Arial"/>
          <w:sz w:val="20"/>
          <w:szCs w:val="20"/>
          <w:lang w:val="en-GB"/>
        </w:rPr>
        <w:t>L</w:t>
      </w:r>
      <w:r w:rsidRPr="00DA6962">
        <w:rPr>
          <w:rFonts w:cs="Arial"/>
          <w:sz w:val="20"/>
          <w:szCs w:val="20"/>
          <w:lang w:val="en-GB"/>
        </w:rPr>
        <w:t>earned</w:t>
      </w:r>
      <w:proofErr w:type="gramEnd"/>
      <w:r w:rsidRPr="00DA6962">
        <w:rPr>
          <w:rFonts w:cs="Arial"/>
          <w:sz w:val="20"/>
          <w:szCs w:val="20"/>
          <w:lang w:val="en-GB"/>
        </w:rPr>
        <w:t xml:space="preserve"> from the Spanish </w:t>
      </w:r>
      <w:r w:rsidR="00EF348C">
        <w:rPr>
          <w:rFonts w:cs="Arial"/>
          <w:sz w:val="20"/>
          <w:szCs w:val="20"/>
          <w:lang w:val="en-GB"/>
        </w:rPr>
        <w:t>E</w:t>
      </w:r>
      <w:r w:rsidRPr="00DA6962">
        <w:rPr>
          <w:rFonts w:cs="Arial"/>
          <w:sz w:val="20"/>
          <w:szCs w:val="20"/>
          <w:lang w:val="en-GB"/>
        </w:rPr>
        <w:t>xperience</w:t>
      </w:r>
      <w:r w:rsidR="00151758" w:rsidRPr="00DA6962">
        <w:rPr>
          <w:rFonts w:cs="Arial"/>
          <w:sz w:val="20"/>
          <w:szCs w:val="20"/>
          <w:lang w:val="en-GB"/>
        </w:rPr>
        <w:t xml:space="preserve"> in order to </w:t>
      </w:r>
      <w:r w:rsidR="00EF348C">
        <w:rPr>
          <w:rFonts w:cs="Arial"/>
          <w:sz w:val="20"/>
          <w:szCs w:val="20"/>
          <w:lang w:val="en-GB"/>
        </w:rPr>
        <w:t>R</w:t>
      </w:r>
      <w:r w:rsidR="007F1EF3" w:rsidRPr="00DA6962">
        <w:rPr>
          <w:rFonts w:cs="Arial"/>
          <w:sz w:val="20"/>
          <w:szCs w:val="20"/>
          <w:lang w:val="en-GB"/>
        </w:rPr>
        <w:t xml:space="preserve">egulate a </w:t>
      </w:r>
      <w:r w:rsidR="00EF348C">
        <w:rPr>
          <w:rFonts w:cs="Arial"/>
          <w:sz w:val="20"/>
          <w:szCs w:val="20"/>
          <w:lang w:val="en-GB"/>
        </w:rPr>
        <w:t>F</w:t>
      </w:r>
      <w:r w:rsidR="007F1EF3" w:rsidRPr="00DA6962">
        <w:rPr>
          <w:rFonts w:cs="Arial"/>
          <w:sz w:val="20"/>
          <w:szCs w:val="20"/>
          <w:lang w:val="en-GB"/>
        </w:rPr>
        <w:t xml:space="preserve">inancing </w:t>
      </w:r>
      <w:r w:rsidR="00EF348C">
        <w:rPr>
          <w:rFonts w:cs="Arial"/>
          <w:sz w:val="20"/>
          <w:szCs w:val="20"/>
          <w:lang w:val="en-GB"/>
        </w:rPr>
        <w:t>S</w:t>
      </w:r>
      <w:r w:rsidR="007F1EF3" w:rsidRPr="00DA6962">
        <w:rPr>
          <w:rFonts w:cs="Arial"/>
          <w:sz w:val="20"/>
          <w:szCs w:val="20"/>
          <w:lang w:val="en-GB"/>
        </w:rPr>
        <w:t xml:space="preserve">ystem </w:t>
      </w:r>
      <w:r w:rsidR="00151758" w:rsidRPr="00DA6962">
        <w:rPr>
          <w:rFonts w:cs="Arial"/>
          <w:sz w:val="20"/>
          <w:szCs w:val="20"/>
          <w:lang w:val="en-GB"/>
        </w:rPr>
        <w:t>f</w:t>
      </w:r>
      <w:r w:rsidR="007F1EF3" w:rsidRPr="00DA6962">
        <w:rPr>
          <w:rFonts w:cs="Arial"/>
          <w:sz w:val="20"/>
          <w:szCs w:val="20"/>
          <w:lang w:val="en-GB"/>
        </w:rPr>
        <w:t>or</w:t>
      </w:r>
      <w:r w:rsidR="00151758" w:rsidRPr="00DA6962">
        <w:rPr>
          <w:rFonts w:cs="Arial"/>
          <w:sz w:val="20"/>
          <w:szCs w:val="20"/>
          <w:lang w:val="en-GB"/>
        </w:rPr>
        <w:t xml:space="preserve"> the </w:t>
      </w:r>
      <w:r w:rsidR="00EF348C">
        <w:rPr>
          <w:rFonts w:cs="Arial"/>
          <w:sz w:val="20"/>
          <w:szCs w:val="20"/>
          <w:lang w:val="en-GB"/>
        </w:rPr>
        <w:t>A</w:t>
      </w:r>
      <w:r w:rsidR="00151758" w:rsidRPr="00DA6962">
        <w:rPr>
          <w:rFonts w:cs="Arial"/>
          <w:sz w:val="20"/>
          <w:szCs w:val="20"/>
          <w:lang w:val="en-GB"/>
        </w:rPr>
        <w:t xml:space="preserve">utonomous </w:t>
      </w:r>
      <w:r w:rsidR="006A0088" w:rsidRPr="00DA6962">
        <w:rPr>
          <w:rFonts w:cs="Arial"/>
          <w:sz w:val="20"/>
          <w:szCs w:val="20"/>
          <w:lang w:val="en-GB"/>
        </w:rPr>
        <w:t>S</w:t>
      </w:r>
      <w:r w:rsidR="00151758" w:rsidRPr="00DA6962">
        <w:rPr>
          <w:rFonts w:cs="Arial"/>
          <w:sz w:val="20"/>
          <w:szCs w:val="20"/>
          <w:lang w:val="en-GB"/>
        </w:rPr>
        <w:t>a</w:t>
      </w:r>
      <w:r w:rsidR="006A0088" w:rsidRPr="00DA6962">
        <w:rPr>
          <w:rFonts w:cs="Arial"/>
          <w:sz w:val="20"/>
          <w:szCs w:val="20"/>
          <w:lang w:val="en-GB"/>
        </w:rPr>
        <w:t>hara</w:t>
      </w:r>
      <w:r w:rsidR="00151758" w:rsidRPr="00DA6962">
        <w:rPr>
          <w:rFonts w:cs="Arial"/>
          <w:sz w:val="20"/>
          <w:szCs w:val="20"/>
          <w:lang w:val="en-GB"/>
        </w:rPr>
        <w:t xml:space="preserve"> </w:t>
      </w:r>
      <w:r w:rsidR="00EF348C">
        <w:rPr>
          <w:rFonts w:cs="Arial"/>
          <w:sz w:val="20"/>
          <w:szCs w:val="20"/>
          <w:lang w:val="en-GB"/>
        </w:rPr>
        <w:t>R</w:t>
      </w:r>
      <w:r w:rsidR="00151758" w:rsidRPr="00DA6962">
        <w:rPr>
          <w:rFonts w:cs="Arial"/>
          <w:sz w:val="20"/>
          <w:szCs w:val="20"/>
          <w:lang w:val="en-GB"/>
        </w:rPr>
        <w:t>egion</w:t>
      </w:r>
      <w:r w:rsidR="00EF348C">
        <w:rPr>
          <w:rFonts w:cs="Arial"/>
          <w:sz w:val="20"/>
          <w:szCs w:val="20"/>
          <w:lang w:val="en-GB"/>
        </w:rPr>
        <w:t>?</w:t>
      </w:r>
    </w:p>
    <w:p w:rsidR="006A0088" w:rsidRPr="00DA6962" w:rsidRDefault="006A0088" w:rsidP="00DA6962">
      <w:pPr>
        <w:spacing w:after="0" w:line="240" w:lineRule="auto"/>
        <w:rPr>
          <w:rFonts w:ascii="Arial" w:hAnsi="Arial" w:cs="Arial"/>
          <w:sz w:val="20"/>
          <w:szCs w:val="20"/>
          <w:lang w:val="en-GB"/>
        </w:rPr>
      </w:pPr>
    </w:p>
    <w:p w:rsidR="00804BC6" w:rsidRPr="00DA6962" w:rsidRDefault="00804BC6" w:rsidP="00DA6962">
      <w:pPr>
        <w:spacing w:after="0" w:line="240" w:lineRule="auto"/>
        <w:jc w:val="both"/>
        <w:rPr>
          <w:rFonts w:ascii="Arial" w:hAnsi="Arial" w:cs="Arial"/>
          <w:b/>
          <w:sz w:val="20"/>
          <w:szCs w:val="20"/>
          <w:lang w:val="en-GB"/>
        </w:rPr>
      </w:pPr>
      <w:r w:rsidRPr="00DA6962">
        <w:rPr>
          <w:rFonts w:ascii="Arial" w:hAnsi="Arial" w:cs="Arial"/>
          <w:b/>
          <w:sz w:val="20"/>
          <w:szCs w:val="20"/>
          <w:lang w:val="en-GB"/>
        </w:rPr>
        <w:t xml:space="preserve">The </w:t>
      </w:r>
      <w:r w:rsidR="00EF348C">
        <w:rPr>
          <w:rFonts w:ascii="Arial" w:hAnsi="Arial" w:cs="Arial"/>
          <w:b/>
          <w:sz w:val="20"/>
          <w:szCs w:val="20"/>
          <w:lang w:val="en-GB"/>
        </w:rPr>
        <w:t>C</w:t>
      </w:r>
      <w:r w:rsidRPr="00DA6962">
        <w:rPr>
          <w:rFonts w:ascii="Arial" w:hAnsi="Arial" w:cs="Arial"/>
          <w:b/>
          <w:sz w:val="20"/>
          <w:szCs w:val="20"/>
          <w:lang w:val="en-GB"/>
        </w:rPr>
        <w:t xml:space="preserve">oexistence of </w:t>
      </w:r>
      <w:r w:rsidR="00EF348C">
        <w:rPr>
          <w:rFonts w:ascii="Arial" w:hAnsi="Arial" w:cs="Arial"/>
          <w:b/>
          <w:sz w:val="20"/>
          <w:szCs w:val="20"/>
          <w:lang w:val="en-GB"/>
        </w:rPr>
        <w:t>T</w:t>
      </w:r>
      <w:r w:rsidRPr="00DA6962">
        <w:rPr>
          <w:rFonts w:ascii="Arial" w:hAnsi="Arial" w:cs="Arial"/>
          <w:b/>
          <w:sz w:val="20"/>
          <w:szCs w:val="20"/>
          <w:lang w:val="en-GB"/>
        </w:rPr>
        <w:t xml:space="preserve">wo </w:t>
      </w:r>
      <w:r w:rsidR="00EF348C">
        <w:rPr>
          <w:rFonts w:ascii="Arial" w:hAnsi="Arial" w:cs="Arial"/>
          <w:b/>
          <w:sz w:val="20"/>
          <w:szCs w:val="20"/>
          <w:lang w:val="en-GB"/>
        </w:rPr>
        <w:t>S</w:t>
      </w:r>
      <w:r w:rsidRPr="00DA6962">
        <w:rPr>
          <w:rFonts w:ascii="Arial" w:hAnsi="Arial" w:cs="Arial"/>
          <w:b/>
          <w:sz w:val="20"/>
          <w:szCs w:val="20"/>
          <w:lang w:val="en-GB"/>
        </w:rPr>
        <w:t xml:space="preserve">ystems with </w:t>
      </w:r>
      <w:r w:rsidR="00EF348C">
        <w:rPr>
          <w:rFonts w:ascii="Arial" w:hAnsi="Arial" w:cs="Arial"/>
          <w:b/>
          <w:sz w:val="20"/>
          <w:szCs w:val="20"/>
          <w:lang w:val="en-GB"/>
        </w:rPr>
        <w:t>D</w:t>
      </w:r>
      <w:r w:rsidRPr="00DA6962">
        <w:rPr>
          <w:rFonts w:ascii="Arial" w:hAnsi="Arial" w:cs="Arial"/>
          <w:b/>
          <w:sz w:val="20"/>
          <w:szCs w:val="20"/>
          <w:lang w:val="en-GB"/>
        </w:rPr>
        <w:t xml:space="preserve">isparate </w:t>
      </w:r>
      <w:r w:rsidR="00EF348C">
        <w:rPr>
          <w:rFonts w:ascii="Arial" w:hAnsi="Arial" w:cs="Arial"/>
          <w:b/>
          <w:sz w:val="20"/>
          <w:szCs w:val="20"/>
          <w:lang w:val="en-GB"/>
        </w:rPr>
        <w:t>R</w:t>
      </w:r>
      <w:r w:rsidRPr="00DA6962">
        <w:rPr>
          <w:rFonts w:ascii="Arial" w:hAnsi="Arial" w:cs="Arial"/>
          <w:b/>
          <w:sz w:val="20"/>
          <w:szCs w:val="20"/>
          <w:lang w:val="en-GB"/>
        </w:rPr>
        <w:t xml:space="preserve">esults </w:t>
      </w:r>
    </w:p>
    <w:p w:rsidR="00804BC6" w:rsidRPr="00DA6962" w:rsidRDefault="00804BC6" w:rsidP="00DA6962">
      <w:pPr>
        <w:spacing w:after="0" w:line="240" w:lineRule="auto"/>
        <w:jc w:val="both"/>
        <w:rPr>
          <w:rFonts w:ascii="Arial" w:hAnsi="Arial" w:cs="Arial"/>
          <w:b/>
          <w:sz w:val="20"/>
          <w:szCs w:val="20"/>
          <w:lang w:val="en-GB"/>
        </w:rPr>
      </w:pPr>
    </w:p>
    <w:p w:rsidR="00804BC6" w:rsidRPr="00DA6962" w:rsidRDefault="00804BC6" w:rsidP="00DA6962">
      <w:pPr>
        <w:spacing w:after="0" w:line="240" w:lineRule="auto"/>
        <w:jc w:val="both"/>
        <w:rPr>
          <w:rFonts w:ascii="Arial" w:hAnsi="Arial" w:cs="Arial"/>
          <w:sz w:val="20"/>
          <w:szCs w:val="20"/>
          <w:lang w:val="en-GB"/>
        </w:rPr>
      </w:pPr>
      <w:r w:rsidRPr="00DA6962">
        <w:rPr>
          <w:rFonts w:ascii="Arial" w:hAnsi="Arial" w:cs="Arial"/>
          <w:sz w:val="20"/>
          <w:szCs w:val="20"/>
          <w:lang w:val="en-GB"/>
        </w:rPr>
        <w:t>Two different systems of financing regions exist in Spain: the common one</w:t>
      </w:r>
      <w:r w:rsidR="00EF348C">
        <w:rPr>
          <w:rFonts w:ascii="Arial" w:hAnsi="Arial" w:cs="Arial"/>
          <w:sz w:val="20"/>
          <w:szCs w:val="20"/>
          <w:lang w:val="en-GB"/>
        </w:rPr>
        <w:t>,</w:t>
      </w:r>
      <w:r w:rsidRPr="00DA6962">
        <w:rPr>
          <w:rFonts w:ascii="Arial" w:hAnsi="Arial" w:cs="Arial"/>
          <w:sz w:val="20"/>
          <w:szCs w:val="20"/>
          <w:lang w:val="en-GB"/>
        </w:rPr>
        <w:t xml:space="preserve"> applied in fifteen </w:t>
      </w:r>
      <w:proofErr w:type="spellStart"/>
      <w:r w:rsidRPr="00DA6962">
        <w:rPr>
          <w:rFonts w:ascii="Arial" w:hAnsi="Arial" w:cs="Arial"/>
          <w:sz w:val="20"/>
          <w:szCs w:val="20"/>
          <w:lang w:val="en-GB"/>
        </w:rPr>
        <w:t>ACs</w:t>
      </w:r>
      <w:proofErr w:type="spellEnd"/>
      <w:r w:rsidR="00EF348C">
        <w:rPr>
          <w:rFonts w:ascii="Arial" w:hAnsi="Arial" w:cs="Arial"/>
          <w:sz w:val="20"/>
          <w:szCs w:val="20"/>
          <w:lang w:val="en-GB"/>
        </w:rPr>
        <w:t>,</w:t>
      </w:r>
      <w:r w:rsidRPr="00DA6962">
        <w:rPr>
          <w:rFonts w:ascii="Arial" w:hAnsi="Arial" w:cs="Arial"/>
          <w:sz w:val="20"/>
          <w:szCs w:val="20"/>
          <w:lang w:val="en-GB"/>
        </w:rPr>
        <w:t xml:space="preserve"> and the </w:t>
      </w:r>
      <w:proofErr w:type="spellStart"/>
      <w:r w:rsidRPr="00DA6962">
        <w:rPr>
          <w:rFonts w:ascii="Arial" w:hAnsi="Arial" w:cs="Arial"/>
          <w:sz w:val="20"/>
          <w:szCs w:val="20"/>
          <w:lang w:val="en-GB"/>
        </w:rPr>
        <w:t>foral</w:t>
      </w:r>
      <w:proofErr w:type="spellEnd"/>
      <w:r w:rsidRPr="00DA6962">
        <w:rPr>
          <w:rFonts w:ascii="Arial" w:hAnsi="Arial" w:cs="Arial"/>
          <w:sz w:val="20"/>
          <w:szCs w:val="20"/>
          <w:lang w:val="en-GB"/>
        </w:rPr>
        <w:t xml:space="preserve"> one</w:t>
      </w:r>
      <w:r w:rsidR="00EF348C">
        <w:rPr>
          <w:rFonts w:ascii="Arial" w:hAnsi="Arial" w:cs="Arial"/>
          <w:sz w:val="20"/>
          <w:szCs w:val="20"/>
          <w:lang w:val="en-GB"/>
        </w:rPr>
        <w:t>,</w:t>
      </w:r>
      <w:r w:rsidRPr="00DA6962">
        <w:rPr>
          <w:rFonts w:ascii="Arial" w:hAnsi="Arial" w:cs="Arial"/>
          <w:sz w:val="20"/>
          <w:szCs w:val="20"/>
          <w:lang w:val="en-GB"/>
        </w:rPr>
        <w:t xml:space="preserve"> that affects only two regions. Each one, as explained in the previous section, has very different features, particularly the </w:t>
      </w:r>
      <w:proofErr w:type="spellStart"/>
      <w:r w:rsidRPr="00DA6962">
        <w:rPr>
          <w:rFonts w:ascii="Arial" w:hAnsi="Arial" w:cs="Arial"/>
          <w:sz w:val="20"/>
          <w:szCs w:val="20"/>
          <w:lang w:val="en-GB"/>
        </w:rPr>
        <w:t>foral</w:t>
      </w:r>
      <w:proofErr w:type="spellEnd"/>
      <w:r w:rsidRPr="00DA6962">
        <w:rPr>
          <w:rFonts w:ascii="Arial" w:hAnsi="Arial" w:cs="Arial"/>
          <w:sz w:val="20"/>
          <w:szCs w:val="20"/>
          <w:lang w:val="en-GB"/>
        </w:rPr>
        <w:t xml:space="preserve"> system, which marks an unprecedented system within the international framework. No federal country has a regional financing system similar to the </w:t>
      </w:r>
      <w:proofErr w:type="spellStart"/>
      <w:r w:rsidRPr="00DA6962">
        <w:rPr>
          <w:rFonts w:ascii="Arial" w:hAnsi="Arial" w:cs="Arial"/>
          <w:sz w:val="20"/>
          <w:szCs w:val="20"/>
          <w:lang w:val="en-GB"/>
        </w:rPr>
        <w:t>foral</w:t>
      </w:r>
      <w:proofErr w:type="spellEnd"/>
      <w:r w:rsidRPr="00DA6962">
        <w:rPr>
          <w:rFonts w:ascii="Arial" w:hAnsi="Arial" w:cs="Arial"/>
          <w:sz w:val="20"/>
          <w:szCs w:val="20"/>
          <w:lang w:val="en-GB"/>
        </w:rPr>
        <w:t xml:space="preserve"> one. On the other hand, a key difference between the two systems is precisely the equalisation mechanism between regions. The territorial equalisation aims to assure that those territories with lesser resources can provide, with equal fiscal effort, a similar level of public services to their citizens. I do not deal now with the extent to which this objective is achieved; I only want to point out that an equalisation mechanism exists and, in general, richer communities contribute and fund it, while poorer ones benefit from it. Nonetheless, this situation is not encountered in the </w:t>
      </w:r>
      <w:proofErr w:type="spellStart"/>
      <w:r w:rsidRPr="00DA6962">
        <w:rPr>
          <w:rFonts w:ascii="Arial" w:hAnsi="Arial" w:cs="Arial"/>
          <w:sz w:val="20"/>
          <w:szCs w:val="20"/>
          <w:lang w:val="en-GB"/>
        </w:rPr>
        <w:t>foral</w:t>
      </w:r>
      <w:proofErr w:type="spellEnd"/>
      <w:r w:rsidRPr="00DA6962">
        <w:rPr>
          <w:rFonts w:ascii="Arial" w:hAnsi="Arial" w:cs="Arial"/>
          <w:sz w:val="20"/>
          <w:szCs w:val="20"/>
          <w:lang w:val="en-GB"/>
        </w:rPr>
        <w:t xml:space="preserve"> system, because the payments made by these two communities do not contemplate the existence of the equalisation mechanism. These circumstances are not a result of norms dictated by the </w:t>
      </w:r>
      <w:r w:rsidRPr="00DA6962">
        <w:rPr>
          <w:rFonts w:ascii="Arial" w:hAnsi="Arial" w:cs="Arial"/>
          <w:sz w:val="20"/>
          <w:szCs w:val="20"/>
          <w:lang w:val="en-GB"/>
        </w:rPr>
        <w:lastRenderedPageBreak/>
        <w:t xml:space="preserve">Spanish Constitution; they are the result of the laws that regulate the </w:t>
      </w:r>
      <w:proofErr w:type="spellStart"/>
      <w:r w:rsidRPr="00DA6962">
        <w:rPr>
          <w:rFonts w:ascii="Arial" w:hAnsi="Arial" w:cs="Arial"/>
          <w:sz w:val="20"/>
          <w:szCs w:val="20"/>
          <w:lang w:val="en-GB"/>
        </w:rPr>
        <w:t>foral</w:t>
      </w:r>
      <w:proofErr w:type="spellEnd"/>
      <w:r w:rsidRPr="00DA6962">
        <w:rPr>
          <w:rFonts w:ascii="Arial" w:hAnsi="Arial" w:cs="Arial"/>
          <w:sz w:val="20"/>
          <w:szCs w:val="20"/>
          <w:lang w:val="en-GB"/>
        </w:rPr>
        <w:t xml:space="preserve"> system, laws that, of course, can be modified. The consequence of this difference is that given that the </w:t>
      </w:r>
      <w:proofErr w:type="spellStart"/>
      <w:r w:rsidRPr="00DA6962">
        <w:rPr>
          <w:rFonts w:ascii="Arial" w:hAnsi="Arial" w:cs="Arial"/>
          <w:sz w:val="20"/>
          <w:szCs w:val="20"/>
          <w:lang w:val="en-GB"/>
        </w:rPr>
        <w:t>foral</w:t>
      </w:r>
      <w:proofErr w:type="spellEnd"/>
      <w:r w:rsidRPr="00DA6962">
        <w:rPr>
          <w:rFonts w:ascii="Arial" w:hAnsi="Arial" w:cs="Arial"/>
          <w:sz w:val="20"/>
          <w:szCs w:val="20"/>
          <w:lang w:val="en-GB"/>
        </w:rPr>
        <w:t xml:space="preserve"> communities are regions with higher income than the Spanish average, the current financing system allows them to obtain higher (around 50%-60%) per capita revenues than the rest of the ACs. Without a doubt, this difference represents a destabilising item of the autonomic financing and, if I may so, of the same state of the AC</w:t>
      </w:r>
      <w:r w:rsidR="00CD02C5" w:rsidRPr="00DA6962">
        <w:rPr>
          <w:rFonts w:ascii="Arial" w:hAnsi="Arial" w:cs="Arial"/>
          <w:sz w:val="20"/>
          <w:szCs w:val="20"/>
          <w:lang w:val="en-GB"/>
        </w:rPr>
        <w:t>s</w:t>
      </w:r>
      <w:r w:rsidRPr="00DA6962">
        <w:rPr>
          <w:rFonts w:ascii="Arial" w:hAnsi="Arial" w:cs="Arial"/>
          <w:sz w:val="20"/>
          <w:szCs w:val="20"/>
          <w:lang w:val="en-GB"/>
        </w:rPr>
        <w:t xml:space="preserve"> themselves.</w:t>
      </w:r>
    </w:p>
    <w:p w:rsidR="00804BC6" w:rsidRPr="00DA6962" w:rsidRDefault="00804BC6" w:rsidP="00DA6962">
      <w:pPr>
        <w:spacing w:after="0" w:line="240" w:lineRule="auto"/>
        <w:jc w:val="both"/>
        <w:rPr>
          <w:rFonts w:ascii="Arial" w:hAnsi="Arial" w:cs="Arial"/>
          <w:sz w:val="20"/>
          <w:szCs w:val="20"/>
          <w:lang w:val="en-GB"/>
        </w:rPr>
      </w:pPr>
    </w:p>
    <w:p w:rsidR="00804BC6" w:rsidRPr="00DA6962" w:rsidRDefault="00804BC6" w:rsidP="00DA6962">
      <w:pPr>
        <w:spacing w:after="0" w:line="240" w:lineRule="auto"/>
        <w:jc w:val="both"/>
        <w:rPr>
          <w:rFonts w:ascii="Arial" w:hAnsi="Arial" w:cs="Arial"/>
          <w:sz w:val="20"/>
          <w:szCs w:val="20"/>
          <w:lang w:val="en-GB"/>
        </w:rPr>
      </w:pPr>
      <w:r w:rsidRPr="00DA6962">
        <w:rPr>
          <w:rFonts w:ascii="Arial" w:hAnsi="Arial" w:cs="Arial"/>
          <w:sz w:val="20"/>
          <w:szCs w:val="20"/>
          <w:lang w:val="en-GB"/>
        </w:rPr>
        <w:t xml:space="preserve">In practice, the difference between the results is generally seen in Catalonia, community where an important part of the population has a deep nationalistic sentiment, as an unfair disadvantage. Being one of the rich regions, the final resources that reach Catalonia after the financing systems is implemented have always been lower, and sometimes much lower, than the resources obtained by poorer communities. </w:t>
      </w:r>
      <w:r w:rsidR="00CD02C5" w:rsidRPr="00DA6962">
        <w:rPr>
          <w:rFonts w:ascii="Arial" w:hAnsi="Arial" w:cs="Arial"/>
          <w:sz w:val="20"/>
          <w:szCs w:val="20"/>
          <w:lang w:val="en-GB"/>
        </w:rPr>
        <w:t xml:space="preserve">From the Catalan perspective, the </w:t>
      </w:r>
      <w:r w:rsidRPr="00DA6962">
        <w:rPr>
          <w:rFonts w:ascii="Arial" w:hAnsi="Arial" w:cs="Arial"/>
          <w:sz w:val="20"/>
          <w:szCs w:val="20"/>
          <w:lang w:val="en-GB"/>
        </w:rPr>
        <w:t xml:space="preserve">question </w:t>
      </w:r>
      <w:r w:rsidR="00CD02C5" w:rsidRPr="00DA6962">
        <w:rPr>
          <w:rFonts w:ascii="Arial" w:hAnsi="Arial" w:cs="Arial"/>
          <w:sz w:val="20"/>
          <w:szCs w:val="20"/>
          <w:lang w:val="en-GB"/>
        </w:rPr>
        <w:t xml:space="preserve">to </w:t>
      </w:r>
      <w:proofErr w:type="gramStart"/>
      <w:r w:rsidR="00CD02C5" w:rsidRPr="00DA6962">
        <w:rPr>
          <w:rFonts w:ascii="Arial" w:hAnsi="Arial" w:cs="Arial"/>
          <w:sz w:val="20"/>
          <w:szCs w:val="20"/>
          <w:lang w:val="en-GB"/>
        </w:rPr>
        <w:t>raise</w:t>
      </w:r>
      <w:proofErr w:type="gramEnd"/>
      <w:r w:rsidR="00CD02C5" w:rsidRPr="00DA6962">
        <w:rPr>
          <w:rFonts w:ascii="Arial" w:hAnsi="Arial" w:cs="Arial"/>
          <w:sz w:val="20"/>
          <w:szCs w:val="20"/>
          <w:lang w:val="en-GB"/>
        </w:rPr>
        <w:t xml:space="preserve"> is quite straightforward: </w:t>
      </w:r>
      <w:r w:rsidRPr="00DA6962">
        <w:rPr>
          <w:rFonts w:ascii="Arial" w:hAnsi="Arial" w:cs="Arial"/>
          <w:sz w:val="20"/>
          <w:szCs w:val="20"/>
          <w:lang w:val="en-GB"/>
        </w:rPr>
        <w:t xml:space="preserve">why should one region </w:t>
      </w:r>
      <w:r w:rsidR="00003832" w:rsidRPr="00DA6962">
        <w:rPr>
          <w:rFonts w:ascii="Arial" w:hAnsi="Arial" w:cs="Arial"/>
          <w:sz w:val="20"/>
          <w:szCs w:val="20"/>
          <w:lang w:val="en-GB"/>
        </w:rPr>
        <w:t xml:space="preserve">finance equalisation grants </w:t>
      </w:r>
      <w:r w:rsidRPr="00DA6962">
        <w:rPr>
          <w:rFonts w:ascii="Arial" w:hAnsi="Arial" w:cs="Arial"/>
          <w:sz w:val="20"/>
          <w:szCs w:val="20"/>
          <w:lang w:val="en-GB"/>
        </w:rPr>
        <w:t>if other</w:t>
      </w:r>
      <w:r w:rsidR="00003832" w:rsidRPr="00DA6962">
        <w:rPr>
          <w:rFonts w:ascii="Arial" w:hAnsi="Arial" w:cs="Arial"/>
          <w:sz w:val="20"/>
          <w:szCs w:val="20"/>
          <w:lang w:val="en-GB"/>
        </w:rPr>
        <w:t xml:space="preserve"> ACs</w:t>
      </w:r>
      <w:r w:rsidRPr="00DA6962">
        <w:rPr>
          <w:rFonts w:ascii="Arial" w:hAnsi="Arial" w:cs="Arial"/>
          <w:sz w:val="20"/>
          <w:szCs w:val="20"/>
          <w:lang w:val="en-GB"/>
        </w:rPr>
        <w:t xml:space="preserve"> </w:t>
      </w:r>
      <w:r w:rsidR="00003832" w:rsidRPr="00DA6962">
        <w:rPr>
          <w:rFonts w:ascii="Arial" w:hAnsi="Arial" w:cs="Arial"/>
          <w:sz w:val="20"/>
          <w:szCs w:val="20"/>
          <w:lang w:val="en-GB"/>
        </w:rPr>
        <w:t>with similar income do not do it</w:t>
      </w:r>
      <w:r w:rsidRPr="00DA6962">
        <w:rPr>
          <w:rFonts w:ascii="Arial" w:hAnsi="Arial" w:cs="Arial"/>
          <w:sz w:val="20"/>
          <w:szCs w:val="20"/>
          <w:lang w:val="en-GB"/>
        </w:rPr>
        <w:t xml:space="preserve">? Faced with this situation, the alternative chosen by many was requesting the same treatment received by the Basque Country and Navarre, without assessing whether there is </w:t>
      </w:r>
      <w:r w:rsidR="00EF348C">
        <w:rPr>
          <w:rFonts w:ascii="Arial" w:hAnsi="Arial" w:cs="Arial"/>
          <w:sz w:val="20"/>
          <w:szCs w:val="20"/>
          <w:lang w:val="en-GB"/>
        </w:rPr>
        <w:t xml:space="preserve">any </w:t>
      </w:r>
      <w:r w:rsidRPr="00DA6962">
        <w:rPr>
          <w:rFonts w:ascii="Arial" w:hAnsi="Arial" w:cs="Arial"/>
          <w:sz w:val="20"/>
          <w:szCs w:val="20"/>
          <w:lang w:val="en-GB"/>
        </w:rPr>
        <w:t xml:space="preserve">technical foundation in this request. We should not forget that the main goal is to obtain the same results or at least similar results. This is a matter which generates divided opinions, and each person has its own, but as an observer of the reality, I consider that the </w:t>
      </w:r>
      <w:r w:rsidR="00003832" w:rsidRPr="00DA6962">
        <w:rPr>
          <w:rFonts w:ascii="Arial" w:hAnsi="Arial" w:cs="Arial"/>
          <w:sz w:val="20"/>
          <w:szCs w:val="20"/>
          <w:lang w:val="en-GB"/>
        </w:rPr>
        <w:t xml:space="preserve">current </w:t>
      </w:r>
      <w:r w:rsidRPr="00DA6962">
        <w:rPr>
          <w:rFonts w:ascii="Arial" w:hAnsi="Arial" w:cs="Arial"/>
          <w:sz w:val="20"/>
          <w:szCs w:val="20"/>
          <w:lang w:val="en-GB"/>
        </w:rPr>
        <w:t xml:space="preserve">discussion regarding Catalonia’s independence would be significantly different if the difference between the results of the </w:t>
      </w:r>
      <w:proofErr w:type="spellStart"/>
      <w:r w:rsidRPr="00DA6962">
        <w:rPr>
          <w:rFonts w:ascii="Arial" w:hAnsi="Arial" w:cs="Arial"/>
          <w:sz w:val="20"/>
          <w:szCs w:val="20"/>
          <w:lang w:val="en-GB"/>
        </w:rPr>
        <w:t>foral</w:t>
      </w:r>
      <w:proofErr w:type="spellEnd"/>
      <w:r w:rsidRPr="00DA6962">
        <w:rPr>
          <w:rFonts w:ascii="Arial" w:hAnsi="Arial" w:cs="Arial"/>
          <w:sz w:val="20"/>
          <w:szCs w:val="20"/>
          <w:lang w:val="en-GB"/>
        </w:rPr>
        <w:t xml:space="preserve"> system and the common one would be lower.</w:t>
      </w:r>
    </w:p>
    <w:p w:rsidR="00804BC6" w:rsidRPr="00DA6962" w:rsidRDefault="00804BC6" w:rsidP="00DA6962">
      <w:pPr>
        <w:spacing w:after="0" w:line="240" w:lineRule="auto"/>
        <w:jc w:val="both"/>
        <w:rPr>
          <w:rFonts w:ascii="Arial" w:hAnsi="Arial" w:cs="Arial"/>
          <w:sz w:val="20"/>
          <w:szCs w:val="20"/>
          <w:lang w:val="en-GB"/>
        </w:rPr>
      </w:pPr>
    </w:p>
    <w:p w:rsidR="00804BC6" w:rsidRPr="00DA6962" w:rsidRDefault="00804BC6" w:rsidP="00DA6962">
      <w:pPr>
        <w:spacing w:after="0" w:line="240" w:lineRule="auto"/>
        <w:jc w:val="both"/>
        <w:rPr>
          <w:rFonts w:ascii="Arial" w:hAnsi="Arial" w:cs="Arial"/>
          <w:sz w:val="20"/>
          <w:szCs w:val="20"/>
          <w:lang w:val="en-GB"/>
        </w:rPr>
      </w:pPr>
      <w:r w:rsidRPr="00DA6962">
        <w:rPr>
          <w:rFonts w:ascii="Arial" w:hAnsi="Arial" w:cs="Arial"/>
          <w:sz w:val="20"/>
          <w:szCs w:val="20"/>
          <w:lang w:val="en-GB"/>
        </w:rPr>
        <w:t>As a consequence, in Spain</w:t>
      </w:r>
      <w:r w:rsidR="00003832" w:rsidRPr="00DA6962">
        <w:rPr>
          <w:rFonts w:ascii="Arial" w:hAnsi="Arial" w:cs="Arial"/>
          <w:sz w:val="20"/>
          <w:szCs w:val="20"/>
          <w:lang w:val="en-GB"/>
        </w:rPr>
        <w:t>,</w:t>
      </w:r>
      <w:r w:rsidRPr="00DA6962">
        <w:rPr>
          <w:rFonts w:ascii="Arial" w:hAnsi="Arial" w:cs="Arial"/>
          <w:sz w:val="20"/>
          <w:szCs w:val="20"/>
          <w:lang w:val="en-GB"/>
        </w:rPr>
        <w:t xml:space="preserve"> and now in Morocco, the recognition of the autonomy of a region is proposed as the solution to an existing political problem. The financing of these autonomies is also due to a political agreement. Nonetheless, it is utterly important to assure that the economic results of the chosen system must not allow the existence of certain disparities which ultimately are nothing but a continuous source of conflict, and represent an obstacle in solving the </w:t>
      </w:r>
      <w:r w:rsidR="00003832" w:rsidRPr="00DA6962">
        <w:rPr>
          <w:rFonts w:ascii="Arial" w:hAnsi="Arial" w:cs="Arial"/>
          <w:sz w:val="20"/>
          <w:szCs w:val="20"/>
          <w:lang w:val="en-GB"/>
        </w:rPr>
        <w:t xml:space="preserve">tackled </w:t>
      </w:r>
      <w:r w:rsidRPr="00DA6962">
        <w:rPr>
          <w:rFonts w:ascii="Arial" w:hAnsi="Arial" w:cs="Arial"/>
          <w:sz w:val="20"/>
          <w:szCs w:val="20"/>
          <w:lang w:val="en-GB"/>
        </w:rPr>
        <w:t>problem.</w:t>
      </w:r>
    </w:p>
    <w:p w:rsidR="00804BC6" w:rsidRPr="00DA6962" w:rsidRDefault="00804BC6" w:rsidP="00DA6962">
      <w:pPr>
        <w:spacing w:after="0" w:line="240" w:lineRule="auto"/>
        <w:jc w:val="both"/>
        <w:rPr>
          <w:rFonts w:ascii="Arial" w:hAnsi="Arial" w:cs="Arial"/>
          <w:sz w:val="20"/>
          <w:szCs w:val="20"/>
          <w:lang w:val="en-GB"/>
        </w:rPr>
      </w:pPr>
    </w:p>
    <w:p w:rsidR="00804BC6" w:rsidRPr="00DA6962" w:rsidRDefault="00804BC6" w:rsidP="00DA6962">
      <w:pPr>
        <w:spacing w:after="0" w:line="240" w:lineRule="auto"/>
        <w:jc w:val="both"/>
        <w:rPr>
          <w:rFonts w:ascii="Arial" w:hAnsi="Arial" w:cs="Arial"/>
          <w:b/>
          <w:sz w:val="20"/>
          <w:szCs w:val="20"/>
          <w:lang w:val="en-GB"/>
        </w:rPr>
      </w:pPr>
      <w:r w:rsidRPr="00DA6962">
        <w:rPr>
          <w:rFonts w:ascii="Arial" w:hAnsi="Arial" w:cs="Arial"/>
          <w:b/>
          <w:sz w:val="20"/>
          <w:szCs w:val="20"/>
          <w:lang w:val="en-GB"/>
        </w:rPr>
        <w:t xml:space="preserve">The </w:t>
      </w:r>
      <w:r w:rsidR="00EF348C">
        <w:rPr>
          <w:rFonts w:ascii="Arial" w:hAnsi="Arial" w:cs="Arial"/>
          <w:b/>
          <w:sz w:val="20"/>
          <w:szCs w:val="20"/>
          <w:lang w:val="en-GB"/>
        </w:rPr>
        <w:t>T</w:t>
      </w:r>
      <w:r w:rsidRPr="00DA6962">
        <w:rPr>
          <w:rFonts w:ascii="Arial" w:hAnsi="Arial" w:cs="Arial"/>
          <w:b/>
          <w:sz w:val="20"/>
          <w:szCs w:val="20"/>
          <w:lang w:val="en-GB"/>
        </w:rPr>
        <w:t xml:space="preserve">erritorial </w:t>
      </w:r>
      <w:r w:rsidR="00EF348C">
        <w:rPr>
          <w:rFonts w:ascii="Arial" w:hAnsi="Arial" w:cs="Arial"/>
          <w:b/>
          <w:sz w:val="20"/>
          <w:szCs w:val="20"/>
          <w:lang w:val="en-GB"/>
        </w:rPr>
        <w:t>E</w:t>
      </w:r>
      <w:r w:rsidRPr="00DA6962">
        <w:rPr>
          <w:rFonts w:ascii="Arial" w:hAnsi="Arial" w:cs="Arial"/>
          <w:b/>
          <w:sz w:val="20"/>
          <w:szCs w:val="20"/>
          <w:lang w:val="en-GB"/>
        </w:rPr>
        <w:t>qualisation</w:t>
      </w:r>
    </w:p>
    <w:p w:rsidR="00804BC6" w:rsidRPr="00DA6962" w:rsidRDefault="00804BC6" w:rsidP="00DA6962">
      <w:pPr>
        <w:spacing w:after="0" w:line="240" w:lineRule="auto"/>
        <w:jc w:val="both"/>
        <w:rPr>
          <w:rFonts w:ascii="Arial" w:hAnsi="Arial" w:cs="Arial"/>
          <w:b/>
          <w:sz w:val="20"/>
          <w:szCs w:val="20"/>
          <w:lang w:val="en-GB"/>
        </w:rPr>
      </w:pPr>
    </w:p>
    <w:p w:rsidR="00804BC6" w:rsidRPr="00DA6962" w:rsidRDefault="00804BC6" w:rsidP="00DA6962">
      <w:pPr>
        <w:spacing w:after="0" w:line="240" w:lineRule="auto"/>
        <w:jc w:val="both"/>
        <w:rPr>
          <w:rFonts w:ascii="Arial" w:hAnsi="Arial" w:cs="Arial"/>
          <w:sz w:val="20"/>
          <w:szCs w:val="20"/>
          <w:lang w:val="en-GB"/>
        </w:rPr>
      </w:pPr>
      <w:r w:rsidRPr="00DA6962">
        <w:rPr>
          <w:rFonts w:ascii="Arial" w:hAnsi="Arial" w:cs="Arial"/>
          <w:sz w:val="20"/>
          <w:szCs w:val="20"/>
          <w:lang w:val="en-GB"/>
        </w:rPr>
        <w:t xml:space="preserve">In the common regime of autonomic financing system of Spain, the first step consists in calculating the expenditure needs of each AC, ceding certain taxes and determining certain equalisation grants in order to cover the expenses generated by the respective expenditure needs. Nonetheless, this calculation is not an easy one and was not done properly since its very beginning. This fact has generated a starting point, the previously mentioned </w:t>
      </w:r>
      <w:r w:rsidRPr="00EF348C">
        <w:rPr>
          <w:rFonts w:ascii="Arial" w:hAnsi="Arial" w:cs="Arial"/>
          <w:i/>
          <w:sz w:val="20"/>
          <w:szCs w:val="20"/>
          <w:lang w:val="en-GB"/>
        </w:rPr>
        <w:t>status quo</w:t>
      </w:r>
      <w:r w:rsidRPr="00DA6962">
        <w:rPr>
          <w:rFonts w:ascii="Arial" w:hAnsi="Arial" w:cs="Arial"/>
          <w:sz w:val="20"/>
          <w:szCs w:val="20"/>
          <w:lang w:val="en-GB"/>
        </w:rPr>
        <w:t xml:space="preserve">, </w:t>
      </w:r>
      <w:r w:rsidR="00EF348C">
        <w:rPr>
          <w:rFonts w:ascii="Arial" w:hAnsi="Arial" w:cs="Arial"/>
          <w:sz w:val="20"/>
          <w:szCs w:val="20"/>
          <w:lang w:val="en-GB"/>
        </w:rPr>
        <w:t>which</w:t>
      </w:r>
      <w:r w:rsidRPr="00DA6962">
        <w:rPr>
          <w:rFonts w:ascii="Arial" w:hAnsi="Arial" w:cs="Arial"/>
          <w:sz w:val="20"/>
          <w:szCs w:val="20"/>
          <w:lang w:val="en-GB"/>
        </w:rPr>
        <w:t xml:space="preserve"> has subsequently conditioned all the recurring reforms. The current equalisation mechanism is immensely complex, not very transparent, its grounds are difficult to comprehend and it generates a final resources allocation that could easily be qualified as arbitrary. In the case of Catalonia, this situation has also been considered as a factor of discrimination which</w:t>
      </w:r>
      <w:r w:rsidR="003A3616" w:rsidRPr="00DA6962">
        <w:rPr>
          <w:rFonts w:ascii="Arial" w:hAnsi="Arial" w:cs="Arial"/>
          <w:sz w:val="20"/>
          <w:szCs w:val="20"/>
          <w:lang w:val="en-GB"/>
        </w:rPr>
        <w:t xml:space="preserve"> undoubtedly </w:t>
      </w:r>
      <w:r w:rsidRPr="00DA6962">
        <w:rPr>
          <w:rFonts w:ascii="Arial" w:hAnsi="Arial" w:cs="Arial"/>
          <w:sz w:val="20"/>
          <w:szCs w:val="20"/>
          <w:lang w:val="en-GB"/>
        </w:rPr>
        <w:t>is behind the current independency controversy. Indeed, whenever a pronounced nationalist sentiment exists, there is added difficulty in understanding why after the implementation of the solidarity mechanism, a rich</w:t>
      </w:r>
      <w:r w:rsidR="003A3616" w:rsidRPr="00DA6962">
        <w:rPr>
          <w:rFonts w:ascii="Arial" w:hAnsi="Arial" w:cs="Arial"/>
          <w:sz w:val="20"/>
          <w:szCs w:val="20"/>
          <w:lang w:val="en-GB"/>
        </w:rPr>
        <w:t>er</w:t>
      </w:r>
      <w:r w:rsidRPr="00DA6962">
        <w:rPr>
          <w:rFonts w:ascii="Arial" w:hAnsi="Arial" w:cs="Arial"/>
          <w:sz w:val="20"/>
          <w:szCs w:val="20"/>
          <w:lang w:val="en-GB"/>
        </w:rPr>
        <w:t xml:space="preserve"> region receives fewer resources per capita than poorer regions. From this perspective, we could state that the financing system is inefficient because it penalises richer regions. Furthermore, the system is also regarded as unfair because it does not show a clear pattern in its results: some rich regions are benefited by the regime, while others are not; its effect on the poorer regions can also be disparate. </w:t>
      </w:r>
    </w:p>
    <w:p w:rsidR="00804BC6" w:rsidRPr="00DA6962" w:rsidRDefault="00804BC6" w:rsidP="00DA6962">
      <w:pPr>
        <w:spacing w:after="0" w:line="240" w:lineRule="auto"/>
        <w:jc w:val="both"/>
        <w:rPr>
          <w:rFonts w:ascii="Arial" w:hAnsi="Arial" w:cs="Arial"/>
          <w:sz w:val="20"/>
          <w:szCs w:val="20"/>
          <w:lang w:val="en-GB"/>
        </w:rPr>
      </w:pPr>
    </w:p>
    <w:p w:rsidR="00804BC6" w:rsidRPr="00DA6962" w:rsidRDefault="00804BC6" w:rsidP="00DA6962">
      <w:pPr>
        <w:spacing w:after="0" w:line="240" w:lineRule="auto"/>
        <w:jc w:val="both"/>
        <w:rPr>
          <w:rFonts w:ascii="Arial" w:hAnsi="Arial" w:cs="Arial"/>
          <w:sz w:val="20"/>
          <w:szCs w:val="20"/>
          <w:lang w:val="en-GB"/>
        </w:rPr>
      </w:pPr>
      <w:r w:rsidRPr="00DA6962">
        <w:rPr>
          <w:rFonts w:ascii="Arial" w:hAnsi="Arial" w:cs="Arial"/>
          <w:sz w:val="20"/>
          <w:szCs w:val="20"/>
          <w:lang w:val="en-GB"/>
        </w:rPr>
        <w:t xml:space="preserve">In conclusion, a recommendation would be the </w:t>
      </w:r>
      <w:r w:rsidRPr="00EF348C">
        <w:rPr>
          <w:rFonts w:ascii="Arial" w:hAnsi="Arial" w:cs="Arial"/>
          <w:b/>
          <w:sz w:val="20"/>
          <w:szCs w:val="20"/>
          <w:lang w:val="en-GB"/>
        </w:rPr>
        <w:t xml:space="preserve">implementation of </w:t>
      </w:r>
      <w:r w:rsidR="0055440C" w:rsidRPr="00EF348C">
        <w:rPr>
          <w:rFonts w:ascii="Arial" w:hAnsi="Arial" w:cs="Arial"/>
          <w:b/>
          <w:sz w:val="20"/>
          <w:szCs w:val="20"/>
          <w:lang w:val="en-GB"/>
        </w:rPr>
        <w:t>an</w:t>
      </w:r>
      <w:r w:rsidRPr="00EF348C">
        <w:rPr>
          <w:rFonts w:ascii="Arial" w:hAnsi="Arial" w:cs="Arial"/>
          <w:b/>
          <w:sz w:val="20"/>
          <w:szCs w:val="20"/>
          <w:lang w:val="en-GB"/>
        </w:rPr>
        <w:t xml:space="preserve"> equalisation system with a clear and explicit equity criterion and, in which the calculation of the equalisation grant is coherent and according to the established equity criterion</w:t>
      </w:r>
      <w:r w:rsidRPr="00DA6962">
        <w:rPr>
          <w:rFonts w:ascii="Arial" w:hAnsi="Arial" w:cs="Arial"/>
          <w:sz w:val="20"/>
          <w:szCs w:val="20"/>
          <w:lang w:val="en-GB"/>
        </w:rPr>
        <w:t>.</w:t>
      </w:r>
      <w:r w:rsidR="00E513C3" w:rsidRPr="00DA6962">
        <w:rPr>
          <w:rFonts w:ascii="Arial" w:hAnsi="Arial" w:cs="Arial"/>
          <w:sz w:val="20"/>
          <w:szCs w:val="20"/>
          <w:lang w:val="en-GB"/>
        </w:rPr>
        <w:t xml:space="preserve"> </w:t>
      </w:r>
    </w:p>
    <w:p w:rsidR="00804BC6" w:rsidRPr="00DA6962" w:rsidRDefault="00804BC6" w:rsidP="00DA6962">
      <w:pPr>
        <w:spacing w:after="0" w:line="240" w:lineRule="auto"/>
        <w:jc w:val="both"/>
        <w:rPr>
          <w:rFonts w:ascii="Arial" w:hAnsi="Arial" w:cs="Arial"/>
          <w:sz w:val="20"/>
          <w:szCs w:val="20"/>
          <w:lang w:val="en-GB"/>
        </w:rPr>
      </w:pPr>
    </w:p>
    <w:p w:rsidR="00804BC6" w:rsidRPr="00DA6962" w:rsidRDefault="00804BC6" w:rsidP="00DA6962">
      <w:pPr>
        <w:spacing w:after="0" w:line="240" w:lineRule="auto"/>
        <w:jc w:val="both"/>
        <w:rPr>
          <w:rFonts w:ascii="Arial" w:hAnsi="Arial" w:cs="Arial"/>
          <w:b/>
          <w:sz w:val="20"/>
          <w:szCs w:val="20"/>
          <w:lang w:val="en-GB"/>
        </w:rPr>
      </w:pPr>
      <w:r w:rsidRPr="00DA6962">
        <w:rPr>
          <w:rFonts w:ascii="Arial" w:hAnsi="Arial" w:cs="Arial"/>
          <w:b/>
          <w:sz w:val="20"/>
          <w:szCs w:val="20"/>
          <w:lang w:val="en-GB"/>
        </w:rPr>
        <w:t xml:space="preserve">The </w:t>
      </w:r>
      <w:r w:rsidR="00EF348C">
        <w:rPr>
          <w:rFonts w:ascii="Arial" w:hAnsi="Arial" w:cs="Arial"/>
          <w:b/>
          <w:sz w:val="20"/>
          <w:szCs w:val="20"/>
          <w:lang w:val="en-GB"/>
        </w:rPr>
        <w:t>F</w:t>
      </w:r>
      <w:r w:rsidRPr="00DA6962">
        <w:rPr>
          <w:rFonts w:ascii="Arial" w:hAnsi="Arial" w:cs="Arial"/>
          <w:b/>
          <w:sz w:val="20"/>
          <w:szCs w:val="20"/>
          <w:lang w:val="en-GB"/>
        </w:rPr>
        <w:t xml:space="preserve">iscal </w:t>
      </w:r>
      <w:r w:rsidR="00EF348C">
        <w:rPr>
          <w:rFonts w:ascii="Arial" w:hAnsi="Arial" w:cs="Arial"/>
          <w:b/>
          <w:sz w:val="20"/>
          <w:szCs w:val="20"/>
          <w:lang w:val="en-GB"/>
        </w:rPr>
        <w:t>R</w:t>
      </w:r>
      <w:r w:rsidRPr="00DA6962">
        <w:rPr>
          <w:rFonts w:ascii="Arial" w:hAnsi="Arial" w:cs="Arial"/>
          <w:b/>
          <w:sz w:val="20"/>
          <w:szCs w:val="20"/>
          <w:lang w:val="en-GB"/>
        </w:rPr>
        <w:t>esponsibility</w:t>
      </w:r>
    </w:p>
    <w:p w:rsidR="00804BC6" w:rsidRPr="00DA6962" w:rsidRDefault="00804BC6" w:rsidP="00DA6962">
      <w:pPr>
        <w:spacing w:after="0" w:line="240" w:lineRule="auto"/>
        <w:jc w:val="both"/>
        <w:rPr>
          <w:rFonts w:ascii="Arial" w:hAnsi="Arial" w:cs="Arial"/>
          <w:b/>
          <w:sz w:val="20"/>
          <w:szCs w:val="20"/>
          <w:lang w:val="en-GB"/>
        </w:rPr>
      </w:pPr>
    </w:p>
    <w:p w:rsidR="00804BC6" w:rsidRPr="00DA6962" w:rsidRDefault="00804BC6" w:rsidP="00DA6962">
      <w:pPr>
        <w:spacing w:after="0" w:line="240" w:lineRule="auto"/>
        <w:jc w:val="both"/>
        <w:rPr>
          <w:rFonts w:ascii="Arial" w:hAnsi="Arial" w:cs="Arial"/>
          <w:sz w:val="20"/>
          <w:szCs w:val="20"/>
          <w:lang w:val="en-GB"/>
        </w:rPr>
      </w:pPr>
      <w:r w:rsidRPr="00DA6962">
        <w:rPr>
          <w:rFonts w:ascii="Arial" w:hAnsi="Arial" w:cs="Arial"/>
          <w:sz w:val="20"/>
          <w:szCs w:val="20"/>
          <w:lang w:val="en-GB"/>
        </w:rPr>
        <w:t>The recognition of the autonomy of a community has already been categorized as a political issue. However, when determining its functioning economists can provide useful recommendations in order to improve it. In regards to the fiscal responsibility, it is important to highlight that governments must be, in the eyes of their citizens, the main responsible for the revenues and spending. While it is true that equalisation grants must have a role in the financing system, we must not disregard the fact that when grants are the main revenue source of a territory, and the autonomy of it only reflects in its ability to decide its own expenses, the government of said territory can easily claim that its actions are limited because the central government does not provide it with all the necessary resources. The autonomic government must be held responsible in front of its citizens both for the ways in which it uses and raises funds. It is always easier to increase the expenses of a certain competence</w:t>
      </w:r>
      <w:r w:rsidR="00D84187" w:rsidRPr="00DA6962">
        <w:rPr>
          <w:rFonts w:ascii="Arial" w:hAnsi="Arial" w:cs="Arial"/>
          <w:sz w:val="20"/>
          <w:szCs w:val="20"/>
          <w:lang w:val="en-GB"/>
        </w:rPr>
        <w:t xml:space="preserve"> when revenue comes from another government</w:t>
      </w:r>
      <w:r w:rsidRPr="00DA6962">
        <w:rPr>
          <w:rFonts w:ascii="Arial" w:hAnsi="Arial" w:cs="Arial"/>
          <w:sz w:val="20"/>
          <w:szCs w:val="20"/>
          <w:lang w:val="en-GB"/>
        </w:rPr>
        <w:t xml:space="preserve"> than to increase a tax that allocates more resources for specific purposes. If the government does not have enough tax autonomy, it has a higher incentive to spend the received funds in an irrational way.</w:t>
      </w:r>
    </w:p>
    <w:p w:rsidR="00804BC6" w:rsidRPr="00DA6962" w:rsidRDefault="00804BC6" w:rsidP="00DA6962">
      <w:pPr>
        <w:spacing w:after="0" w:line="240" w:lineRule="auto"/>
        <w:jc w:val="both"/>
        <w:rPr>
          <w:rFonts w:ascii="Arial" w:hAnsi="Arial" w:cs="Arial"/>
          <w:sz w:val="20"/>
          <w:szCs w:val="20"/>
          <w:lang w:val="en-GB"/>
        </w:rPr>
      </w:pPr>
    </w:p>
    <w:p w:rsidR="00804BC6" w:rsidRPr="00DA6962" w:rsidRDefault="00804BC6" w:rsidP="00DA6962">
      <w:pPr>
        <w:spacing w:after="0" w:line="240" w:lineRule="auto"/>
        <w:jc w:val="both"/>
        <w:rPr>
          <w:rFonts w:ascii="Arial" w:hAnsi="Arial" w:cs="Arial"/>
          <w:sz w:val="20"/>
          <w:szCs w:val="20"/>
          <w:lang w:val="en-GB"/>
        </w:rPr>
      </w:pPr>
      <w:r w:rsidRPr="00DA6962">
        <w:rPr>
          <w:rFonts w:ascii="Arial" w:hAnsi="Arial" w:cs="Arial"/>
          <w:sz w:val="20"/>
          <w:szCs w:val="20"/>
          <w:lang w:val="en-GB"/>
        </w:rPr>
        <w:t xml:space="preserve">The severe economic crisis suffered by Spain in recent years has clearly shown that the fiscal illusion produced in the years of rapid economic growth has led various governments to dedicate resources to superfluous objectives and to a wasteful pattern of spending. The Spanish real estate boom had led to increasing public revenues and had generated a clear sentiment of fiscal illusion. The taxation of certain taxable events related with the real estate market, taxes which were little perceived by the citizens, had generated high revenues during the growth phase. This is not a consequence of decentralisation, but it represents a clear example of what </w:t>
      </w:r>
      <w:r w:rsidR="00D84187" w:rsidRPr="00DA6962">
        <w:rPr>
          <w:rFonts w:ascii="Arial" w:hAnsi="Arial" w:cs="Arial"/>
          <w:sz w:val="20"/>
          <w:szCs w:val="20"/>
          <w:lang w:val="en-GB"/>
        </w:rPr>
        <w:t>fiscal illusion can</w:t>
      </w:r>
      <w:r w:rsidRPr="00DA6962">
        <w:rPr>
          <w:rFonts w:ascii="Arial" w:hAnsi="Arial" w:cs="Arial"/>
          <w:sz w:val="20"/>
          <w:szCs w:val="20"/>
          <w:lang w:val="en-GB"/>
        </w:rPr>
        <w:t xml:space="preserve"> provoke. </w:t>
      </w:r>
    </w:p>
    <w:p w:rsidR="00804BC6" w:rsidRPr="00DA6962" w:rsidRDefault="00804BC6" w:rsidP="00DA6962">
      <w:pPr>
        <w:spacing w:after="0" w:line="240" w:lineRule="auto"/>
        <w:jc w:val="both"/>
        <w:rPr>
          <w:rFonts w:ascii="Arial" w:hAnsi="Arial" w:cs="Arial"/>
          <w:sz w:val="20"/>
          <w:szCs w:val="20"/>
          <w:lang w:val="en-GB"/>
        </w:rPr>
      </w:pPr>
    </w:p>
    <w:p w:rsidR="00804BC6" w:rsidRPr="00DA6962" w:rsidRDefault="00804BC6" w:rsidP="00DA6962">
      <w:pPr>
        <w:spacing w:after="0" w:line="240" w:lineRule="auto"/>
        <w:jc w:val="both"/>
        <w:rPr>
          <w:rFonts w:ascii="Arial" w:hAnsi="Arial" w:cs="Arial"/>
          <w:sz w:val="20"/>
          <w:szCs w:val="20"/>
          <w:lang w:val="en-GB"/>
        </w:rPr>
      </w:pPr>
      <w:r w:rsidRPr="00DA6962">
        <w:rPr>
          <w:rFonts w:ascii="Arial" w:hAnsi="Arial" w:cs="Arial"/>
          <w:sz w:val="20"/>
          <w:szCs w:val="20"/>
          <w:lang w:val="en-GB"/>
        </w:rPr>
        <w:t xml:space="preserve">Concluding, the recommendation is that </w:t>
      </w:r>
      <w:r w:rsidRPr="0075535B">
        <w:rPr>
          <w:rFonts w:ascii="Arial" w:hAnsi="Arial" w:cs="Arial"/>
          <w:b/>
          <w:sz w:val="20"/>
          <w:szCs w:val="20"/>
          <w:lang w:val="en-GB"/>
        </w:rPr>
        <w:t>ACs must have sufficient tax power and this power must be perceived and understood by citizens. The Moroccan Initiative stipulates the correct principles, which subsequently will have to be developed</w:t>
      </w:r>
      <w:r w:rsidRPr="00DA6962">
        <w:rPr>
          <w:rFonts w:ascii="Arial" w:hAnsi="Arial" w:cs="Arial"/>
          <w:sz w:val="20"/>
          <w:szCs w:val="20"/>
          <w:lang w:val="en-GB"/>
        </w:rPr>
        <w:t xml:space="preserve">. Clearly, as with all the processes, its implementation must be gradual, matter which I following comment. </w:t>
      </w:r>
    </w:p>
    <w:p w:rsidR="00804BC6" w:rsidRPr="00DA6962" w:rsidRDefault="00804BC6" w:rsidP="00DA6962">
      <w:pPr>
        <w:spacing w:after="0" w:line="240" w:lineRule="auto"/>
        <w:jc w:val="both"/>
        <w:rPr>
          <w:rFonts w:ascii="Arial" w:hAnsi="Arial" w:cs="Arial"/>
          <w:sz w:val="20"/>
          <w:szCs w:val="20"/>
          <w:lang w:val="en-GB"/>
        </w:rPr>
      </w:pPr>
    </w:p>
    <w:p w:rsidR="00804BC6" w:rsidRPr="00DA6962" w:rsidRDefault="00804BC6" w:rsidP="00DA6962">
      <w:pPr>
        <w:spacing w:after="0" w:line="240" w:lineRule="auto"/>
        <w:jc w:val="both"/>
        <w:rPr>
          <w:rFonts w:ascii="Arial" w:hAnsi="Arial" w:cs="Arial"/>
          <w:b/>
          <w:sz w:val="20"/>
          <w:szCs w:val="20"/>
          <w:lang w:val="en-GB"/>
        </w:rPr>
      </w:pPr>
      <w:r w:rsidRPr="00DA6962">
        <w:rPr>
          <w:rFonts w:ascii="Arial" w:hAnsi="Arial" w:cs="Arial"/>
          <w:b/>
          <w:sz w:val="20"/>
          <w:szCs w:val="20"/>
          <w:lang w:val="en-GB"/>
        </w:rPr>
        <w:t xml:space="preserve">Autonomic </w:t>
      </w:r>
      <w:r w:rsidR="0075535B">
        <w:rPr>
          <w:rFonts w:ascii="Arial" w:hAnsi="Arial" w:cs="Arial"/>
          <w:b/>
          <w:sz w:val="20"/>
          <w:szCs w:val="20"/>
          <w:lang w:val="en-GB"/>
        </w:rPr>
        <w:t>F</w:t>
      </w:r>
      <w:r w:rsidRPr="00DA6962">
        <w:rPr>
          <w:rFonts w:ascii="Arial" w:hAnsi="Arial" w:cs="Arial"/>
          <w:b/>
          <w:sz w:val="20"/>
          <w:szCs w:val="20"/>
          <w:lang w:val="en-GB"/>
        </w:rPr>
        <w:t xml:space="preserve">inancing: an </w:t>
      </w:r>
      <w:r w:rsidR="0075535B">
        <w:rPr>
          <w:rFonts w:ascii="Arial" w:hAnsi="Arial" w:cs="Arial"/>
          <w:b/>
          <w:sz w:val="20"/>
          <w:szCs w:val="20"/>
          <w:lang w:val="en-GB"/>
        </w:rPr>
        <w:t>O</w:t>
      </w:r>
      <w:r w:rsidRPr="00DA6962">
        <w:rPr>
          <w:rFonts w:ascii="Arial" w:hAnsi="Arial" w:cs="Arial"/>
          <w:b/>
          <w:sz w:val="20"/>
          <w:szCs w:val="20"/>
          <w:lang w:val="en-GB"/>
        </w:rPr>
        <w:t xml:space="preserve">pen </w:t>
      </w:r>
      <w:r w:rsidR="0075535B">
        <w:rPr>
          <w:rFonts w:ascii="Arial" w:hAnsi="Arial" w:cs="Arial"/>
          <w:b/>
          <w:sz w:val="20"/>
          <w:szCs w:val="20"/>
          <w:lang w:val="en-GB"/>
        </w:rPr>
        <w:t>P</w:t>
      </w:r>
      <w:r w:rsidRPr="00DA6962">
        <w:rPr>
          <w:rFonts w:ascii="Arial" w:hAnsi="Arial" w:cs="Arial"/>
          <w:b/>
          <w:sz w:val="20"/>
          <w:szCs w:val="20"/>
          <w:lang w:val="en-GB"/>
        </w:rPr>
        <w:t>rocess</w:t>
      </w:r>
    </w:p>
    <w:p w:rsidR="00804BC6" w:rsidRPr="00DA6962" w:rsidRDefault="00804BC6" w:rsidP="00DA6962">
      <w:pPr>
        <w:spacing w:after="0" w:line="240" w:lineRule="auto"/>
        <w:jc w:val="both"/>
        <w:rPr>
          <w:rFonts w:ascii="Arial" w:hAnsi="Arial" w:cs="Arial"/>
          <w:sz w:val="20"/>
          <w:szCs w:val="20"/>
          <w:lang w:val="en-GB"/>
        </w:rPr>
      </w:pPr>
    </w:p>
    <w:p w:rsidR="00804BC6" w:rsidRPr="00DA6962" w:rsidRDefault="00804BC6" w:rsidP="00DA6962">
      <w:pPr>
        <w:spacing w:after="0" w:line="240" w:lineRule="auto"/>
        <w:jc w:val="both"/>
        <w:rPr>
          <w:rFonts w:ascii="Arial" w:hAnsi="Arial" w:cs="Arial"/>
          <w:sz w:val="20"/>
          <w:szCs w:val="20"/>
          <w:lang w:val="en-GB"/>
        </w:rPr>
      </w:pPr>
      <w:r w:rsidRPr="00DA6962">
        <w:rPr>
          <w:rFonts w:ascii="Arial" w:hAnsi="Arial" w:cs="Arial"/>
          <w:sz w:val="20"/>
          <w:szCs w:val="20"/>
          <w:lang w:val="en-GB"/>
        </w:rPr>
        <w:t>The recognition of autonomy, and its consequent implementation, creates a decentrali</w:t>
      </w:r>
      <w:r w:rsidR="00D16E7D" w:rsidRPr="00DA6962">
        <w:rPr>
          <w:rFonts w:ascii="Arial" w:hAnsi="Arial" w:cs="Arial"/>
          <w:sz w:val="20"/>
          <w:szCs w:val="20"/>
          <w:lang w:val="en-GB"/>
        </w:rPr>
        <w:t>s</w:t>
      </w:r>
      <w:r w:rsidRPr="00DA6962">
        <w:rPr>
          <w:rFonts w:ascii="Arial" w:hAnsi="Arial" w:cs="Arial"/>
          <w:sz w:val="20"/>
          <w:szCs w:val="20"/>
          <w:lang w:val="en-GB"/>
        </w:rPr>
        <w:t xml:space="preserve">ation process </w:t>
      </w:r>
      <w:r w:rsidR="0075535B">
        <w:rPr>
          <w:rFonts w:ascii="Arial" w:hAnsi="Arial" w:cs="Arial"/>
          <w:sz w:val="20"/>
          <w:szCs w:val="20"/>
          <w:lang w:val="en-GB"/>
        </w:rPr>
        <w:t>with</w:t>
      </w:r>
      <w:r w:rsidRPr="00DA6962">
        <w:rPr>
          <w:rFonts w:ascii="Arial" w:hAnsi="Arial" w:cs="Arial"/>
          <w:sz w:val="20"/>
          <w:szCs w:val="20"/>
          <w:lang w:val="en-GB"/>
        </w:rPr>
        <w:t xml:space="preserve"> regards both </w:t>
      </w:r>
      <w:r w:rsidR="0075535B">
        <w:rPr>
          <w:rFonts w:ascii="Arial" w:hAnsi="Arial" w:cs="Arial"/>
          <w:sz w:val="20"/>
          <w:szCs w:val="20"/>
          <w:lang w:val="en-GB"/>
        </w:rPr>
        <w:t>to</w:t>
      </w:r>
      <w:r w:rsidRPr="00DA6962">
        <w:rPr>
          <w:rFonts w:ascii="Arial" w:hAnsi="Arial" w:cs="Arial"/>
          <w:sz w:val="20"/>
          <w:szCs w:val="20"/>
          <w:lang w:val="en-GB"/>
        </w:rPr>
        <w:t xml:space="preserve"> the expenditure and revenue sides, which must be done progressively. In any case, as demonstrated by countries with an extensive federal tradition, this is an open process that evolves in time and this evolution does not always go in the same direction. The Spanish experience in autonom</w:t>
      </w:r>
      <w:r w:rsidR="0075535B">
        <w:rPr>
          <w:rFonts w:ascii="Arial" w:hAnsi="Arial" w:cs="Arial"/>
          <w:sz w:val="20"/>
          <w:szCs w:val="20"/>
          <w:lang w:val="en-GB"/>
        </w:rPr>
        <w:t>ous</w:t>
      </w:r>
      <w:r w:rsidRPr="00DA6962">
        <w:rPr>
          <w:rFonts w:ascii="Arial" w:hAnsi="Arial" w:cs="Arial"/>
          <w:sz w:val="20"/>
          <w:szCs w:val="20"/>
          <w:lang w:val="en-GB"/>
        </w:rPr>
        <w:t xml:space="preserve"> development is still young although the system has been developing during the last 35 years; however this experience is sufficient enough to say that, in what concerns financing, the process is an open one. The economic evolution is not lineal</w:t>
      </w:r>
      <w:r w:rsidR="0075535B">
        <w:rPr>
          <w:rFonts w:ascii="Arial" w:hAnsi="Arial" w:cs="Arial"/>
          <w:sz w:val="20"/>
          <w:szCs w:val="20"/>
          <w:lang w:val="en-GB"/>
        </w:rPr>
        <w:t>:</w:t>
      </w:r>
      <w:r w:rsidRPr="00DA6962">
        <w:rPr>
          <w:rFonts w:ascii="Arial" w:hAnsi="Arial" w:cs="Arial"/>
          <w:sz w:val="20"/>
          <w:szCs w:val="20"/>
          <w:lang w:val="en-GB"/>
        </w:rPr>
        <w:t xml:space="preserve"> some periods register growth and others recessions. Population also varies with the course of time. The role of governments in the functioning of the economy has also seen great variations. With all this taken into account, it is important for the financing system to consider all these changes periodically in order to better adjust to a changing reality. For example, when determining the equalisation grant, the system should establish how this amount should change each year and establish an almost automatic index of evolution. However, afterwards, from time to time, the model should be evaluated and revised, as well as reformed whenever it is considered appropriate. The experience derived from its application and the results obtained must be useful tools towards the improvement of the financing system. </w:t>
      </w:r>
    </w:p>
    <w:p w:rsidR="00804BC6" w:rsidRPr="00DA6962" w:rsidRDefault="00804BC6" w:rsidP="00DA6962">
      <w:pPr>
        <w:spacing w:after="0" w:line="240" w:lineRule="auto"/>
        <w:jc w:val="both"/>
        <w:rPr>
          <w:rFonts w:ascii="Arial" w:hAnsi="Arial" w:cs="Arial"/>
          <w:sz w:val="20"/>
          <w:szCs w:val="20"/>
          <w:lang w:val="en-GB"/>
        </w:rPr>
      </w:pPr>
    </w:p>
    <w:p w:rsidR="00804BC6" w:rsidRPr="00DA6962" w:rsidRDefault="00804BC6" w:rsidP="00DA6962">
      <w:pPr>
        <w:spacing w:after="0" w:line="240" w:lineRule="auto"/>
        <w:jc w:val="both"/>
        <w:rPr>
          <w:rFonts w:ascii="Arial" w:hAnsi="Arial" w:cs="Arial"/>
          <w:sz w:val="20"/>
          <w:szCs w:val="20"/>
          <w:lang w:val="en-GB"/>
        </w:rPr>
      </w:pPr>
      <w:r w:rsidRPr="00DA6962">
        <w:rPr>
          <w:rFonts w:ascii="Arial" w:hAnsi="Arial" w:cs="Arial"/>
          <w:sz w:val="20"/>
          <w:szCs w:val="20"/>
          <w:lang w:val="en-GB"/>
        </w:rPr>
        <w:t xml:space="preserve">Moreover, </w:t>
      </w:r>
      <w:r w:rsidRPr="0075535B">
        <w:rPr>
          <w:rFonts w:ascii="Arial" w:hAnsi="Arial" w:cs="Arial"/>
          <w:b/>
          <w:sz w:val="20"/>
          <w:szCs w:val="20"/>
          <w:lang w:val="en-GB"/>
        </w:rPr>
        <w:t>discussion forums should be organized</w:t>
      </w:r>
      <w:r w:rsidRPr="00DA6962">
        <w:rPr>
          <w:rFonts w:ascii="Arial" w:hAnsi="Arial" w:cs="Arial"/>
          <w:sz w:val="20"/>
          <w:szCs w:val="20"/>
          <w:lang w:val="en-GB"/>
        </w:rPr>
        <w:t>. All ACs should participate in order to exchange ideas between themselves and also with the representatives of the State, and create a political and technical debate that would help the improvement of the autonomy. As previously stated, the recognition of the autonomy of one or more regions is a political decision. Nonetheless, how to assure that an autonom</w:t>
      </w:r>
      <w:r w:rsidR="0075535B">
        <w:rPr>
          <w:rFonts w:ascii="Arial" w:hAnsi="Arial" w:cs="Arial"/>
          <w:sz w:val="20"/>
          <w:szCs w:val="20"/>
          <w:lang w:val="en-GB"/>
        </w:rPr>
        <w:t>ous</w:t>
      </w:r>
      <w:r w:rsidRPr="00DA6962">
        <w:rPr>
          <w:rFonts w:ascii="Arial" w:hAnsi="Arial" w:cs="Arial"/>
          <w:sz w:val="20"/>
          <w:szCs w:val="20"/>
          <w:lang w:val="en-GB"/>
        </w:rPr>
        <w:t xml:space="preserve"> region is properly functioning is not only a political matter but also a technical one. The experience of other countries can without doubt shed light on this matter. From the Spanish experience </w:t>
      </w:r>
      <w:r w:rsidRPr="0075535B">
        <w:rPr>
          <w:rFonts w:ascii="Arial" w:hAnsi="Arial" w:cs="Arial"/>
          <w:b/>
          <w:sz w:val="20"/>
          <w:szCs w:val="20"/>
          <w:lang w:val="en-GB"/>
        </w:rPr>
        <w:t>a clear, transparent and coherent financing system is an essential recommendation</w:t>
      </w:r>
      <w:r w:rsidRPr="00DA6962">
        <w:rPr>
          <w:rFonts w:ascii="Arial" w:hAnsi="Arial" w:cs="Arial"/>
          <w:sz w:val="20"/>
          <w:szCs w:val="20"/>
          <w:lang w:val="en-GB"/>
        </w:rPr>
        <w:t xml:space="preserve">. </w:t>
      </w:r>
    </w:p>
    <w:p w:rsidR="002119B3" w:rsidRPr="00DA6962" w:rsidRDefault="002119B3" w:rsidP="00DA6962">
      <w:pPr>
        <w:spacing w:after="0" w:line="240" w:lineRule="auto"/>
        <w:rPr>
          <w:rFonts w:ascii="Arial" w:hAnsi="Arial" w:cs="Arial"/>
          <w:sz w:val="20"/>
          <w:szCs w:val="20"/>
          <w:lang w:val="en-GB"/>
        </w:rPr>
      </w:pPr>
    </w:p>
    <w:p w:rsidR="006A6D8A" w:rsidRPr="00DA6962" w:rsidRDefault="006A6D8A" w:rsidP="00DA6962">
      <w:pPr>
        <w:pStyle w:val="Title"/>
        <w:numPr>
          <w:ilvl w:val="0"/>
          <w:numId w:val="4"/>
        </w:numPr>
        <w:spacing w:line="240" w:lineRule="auto"/>
        <w:rPr>
          <w:rFonts w:cs="Arial"/>
          <w:sz w:val="20"/>
          <w:szCs w:val="20"/>
          <w:lang w:val="en-GB"/>
        </w:rPr>
      </w:pPr>
      <w:r w:rsidRPr="00DA6962">
        <w:rPr>
          <w:rFonts w:cs="Arial"/>
          <w:sz w:val="20"/>
          <w:szCs w:val="20"/>
          <w:lang w:val="en-GB"/>
        </w:rPr>
        <w:t>Conclusions</w:t>
      </w:r>
      <w:r w:rsidR="0005150A" w:rsidRPr="00DA6962">
        <w:rPr>
          <w:rFonts w:cs="Arial"/>
          <w:sz w:val="20"/>
          <w:szCs w:val="20"/>
          <w:lang w:val="en-GB"/>
        </w:rPr>
        <w:t xml:space="preserve"> for the </w:t>
      </w:r>
      <w:r w:rsidR="0075535B">
        <w:rPr>
          <w:rFonts w:cs="Arial"/>
          <w:sz w:val="20"/>
          <w:szCs w:val="20"/>
          <w:lang w:val="en-GB"/>
        </w:rPr>
        <w:t>I</w:t>
      </w:r>
      <w:r w:rsidR="0005150A" w:rsidRPr="00DA6962">
        <w:rPr>
          <w:rFonts w:cs="Arial"/>
          <w:sz w:val="20"/>
          <w:szCs w:val="20"/>
          <w:lang w:val="en-GB"/>
        </w:rPr>
        <w:t>nitiative</w:t>
      </w:r>
    </w:p>
    <w:p w:rsidR="006A6D8A" w:rsidRPr="00DA6962" w:rsidRDefault="006A6D8A" w:rsidP="00DA6962">
      <w:pPr>
        <w:spacing w:after="0" w:line="240" w:lineRule="auto"/>
        <w:rPr>
          <w:rFonts w:ascii="Arial" w:hAnsi="Arial" w:cs="Arial"/>
          <w:sz w:val="20"/>
          <w:szCs w:val="20"/>
          <w:lang w:val="en-GB"/>
        </w:rPr>
      </w:pPr>
    </w:p>
    <w:p w:rsidR="006A6D8A" w:rsidRPr="00DA6962" w:rsidRDefault="006A6D8A" w:rsidP="00DA6962">
      <w:pPr>
        <w:spacing w:after="0" w:line="240" w:lineRule="auto"/>
        <w:jc w:val="both"/>
        <w:rPr>
          <w:rFonts w:ascii="Arial" w:hAnsi="Arial" w:cs="Arial"/>
          <w:sz w:val="20"/>
          <w:szCs w:val="20"/>
          <w:lang w:val="en-GB"/>
        </w:rPr>
      </w:pPr>
      <w:r w:rsidRPr="00DA6962">
        <w:rPr>
          <w:rFonts w:ascii="Arial" w:hAnsi="Arial" w:cs="Arial"/>
          <w:sz w:val="20"/>
          <w:szCs w:val="20"/>
          <w:lang w:val="en-GB"/>
        </w:rPr>
        <w:t>The Moroccan initiative for negotiating an autonomy statu</w:t>
      </w:r>
      <w:r w:rsidR="0075535B">
        <w:rPr>
          <w:rFonts w:ascii="Arial" w:hAnsi="Arial" w:cs="Arial"/>
          <w:sz w:val="20"/>
          <w:szCs w:val="20"/>
          <w:lang w:val="en-GB"/>
        </w:rPr>
        <w:t>s</w:t>
      </w:r>
      <w:r w:rsidRPr="00DA6962">
        <w:rPr>
          <w:rFonts w:ascii="Arial" w:hAnsi="Arial" w:cs="Arial"/>
          <w:sz w:val="20"/>
          <w:szCs w:val="20"/>
          <w:lang w:val="en-GB"/>
        </w:rPr>
        <w:t xml:space="preserve"> for the Sahara region foresees </w:t>
      </w:r>
      <w:r w:rsidR="003602CB" w:rsidRPr="00DA6962">
        <w:rPr>
          <w:rFonts w:ascii="Arial" w:hAnsi="Arial" w:cs="Arial"/>
          <w:sz w:val="20"/>
          <w:szCs w:val="20"/>
          <w:lang w:val="en-GB"/>
        </w:rPr>
        <w:t xml:space="preserve">the distribution </w:t>
      </w:r>
      <w:r w:rsidRPr="00DA6962">
        <w:rPr>
          <w:rFonts w:ascii="Arial" w:hAnsi="Arial" w:cs="Arial"/>
          <w:sz w:val="20"/>
          <w:szCs w:val="20"/>
          <w:lang w:val="en-GB"/>
        </w:rPr>
        <w:t xml:space="preserve">of powers </w:t>
      </w:r>
      <w:r w:rsidR="003602CB" w:rsidRPr="00DA6962">
        <w:rPr>
          <w:rFonts w:ascii="Arial" w:hAnsi="Arial" w:cs="Arial"/>
          <w:sz w:val="20"/>
          <w:szCs w:val="20"/>
          <w:lang w:val="en-GB"/>
        </w:rPr>
        <w:t xml:space="preserve">between the Sahara autonomous region and the State, as well as the regional financial resources required for the development of these powers. Similar to the Spanish Constitution, article 13 of the </w:t>
      </w:r>
      <w:r w:rsidR="0075535B">
        <w:rPr>
          <w:rFonts w:ascii="Arial" w:hAnsi="Arial" w:cs="Arial"/>
          <w:sz w:val="20"/>
          <w:szCs w:val="20"/>
          <w:lang w:val="en-GB"/>
        </w:rPr>
        <w:t>I</w:t>
      </w:r>
      <w:r w:rsidR="003602CB" w:rsidRPr="00DA6962">
        <w:rPr>
          <w:rFonts w:ascii="Arial" w:hAnsi="Arial" w:cs="Arial"/>
          <w:sz w:val="20"/>
          <w:szCs w:val="20"/>
          <w:lang w:val="en-GB"/>
        </w:rPr>
        <w:t xml:space="preserve">nitiative states that the resources of the Sahara autonomous Region will come in particular from: </w:t>
      </w:r>
    </w:p>
    <w:p w:rsidR="006A6D8A" w:rsidRPr="00DA6962" w:rsidRDefault="003602CB" w:rsidP="00DA6962">
      <w:pPr>
        <w:pStyle w:val="ListParagraph"/>
        <w:numPr>
          <w:ilvl w:val="0"/>
          <w:numId w:val="6"/>
        </w:numPr>
        <w:spacing w:after="0" w:line="240" w:lineRule="auto"/>
        <w:jc w:val="both"/>
        <w:rPr>
          <w:rFonts w:ascii="Arial" w:hAnsi="Arial" w:cs="Arial"/>
          <w:sz w:val="20"/>
          <w:szCs w:val="20"/>
          <w:lang w:val="en-GB"/>
        </w:rPr>
      </w:pPr>
      <w:r w:rsidRPr="00DA6962">
        <w:rPr>
          <w:rFonts w:ascii="Arial" w:hAnsi="Arial" w:cs="Arial"/>
          <w:sz w:val="20"/>
          <w:szCs w:val="20"/>
          <w:lang w:val="en-GB"/>
        </w:rPr>
        <w:t>Taxes, duties and levies enacted by the regional authorities</w:t>
      </w:r>
      <w:r w:rsidR="00645A1B" w:rsidRPr="00DA6962">
        <w:rPr>
          <w:rFonts w:ascii="Arial" w:hAnsi="Arial" w:cs="Arial"/>
          <w:sz w:val="20"/>
          <w:szCs w:val="20"/>
          <w:lang w:val="en-GB"/>
        </w:rPr>
        <w:t>;</w:t>
      </w:r>
    </w:p>
    <w:p w:rsidR="003602CB" w:rsidRPr="00DA6962" w:rsidRDefault="00645A1B" w:rsidP="00DA6962">
      <w:pPr>
        <w:pStyle w:val="ListParagraph"/>
        <w:numPr>
          <w:ilvl w:val="0"/>
          <w:numId w:val="6"/>
        </w:numPr>
        <w:spacing w:after="0" w:line="240" w:lineRule="auto"/>
        <w:jc w:val="both"/>
        <w:rPr>
          <w:rFonts w:ascii="Arial" w:hAnsi="Arial" w:cs="Arial"/>
          <w:sz w:val="20"/>
          <w:szCs w:val="20"/>
          <w:lang w:val="en-GB"/>
        </w:rPr>
      </w:pPr>
      <w:r w:rsidRPr="00DA6962">
        <w:rPr>
          <w:rFonts w:ascii="Arial" w:hAnsi="Arial" w:cs="Arial"/>
          <w:sz w:val="20"/>
          <w:szCs w:val="20"/>
          <w:lang w:val="en-GB"/>
        </w:rPr>
        <w:t>Proceeds from natural resources allocated to the Region or the share of proceeds collected by the State from natural resources locates in the Region;</w:t>
      </w:r>
    </w:p>
    <w:p w:rsidR="00645A1B" w:rsidRPr="00DA6962" w:rsidRDefault="00645A1B" w:rsidP="00DA6962">
      <w:pPr>
        <w:pStyle w:val="ListParagraph"/>
        <w:numPr>
          <w:ilvl w:val="0"/>
          <w:numId w:val="6"/>
        </w:numPr>
        <w:spacing w:after="0" w:line="240" w:lineRule="auto"/>
        <w:jc w:val="both"/>
        <w:rPr>
          <w:rFonts w:ascii="Arial" w:hAnsi="Arial" w:cs="Arial"/>
          <w:sz w:val="20"/>
          <w:szCs w:val="20"/>
          <w:lang w:val="en-GB"/>
        </w:rPr>
      </w:pPr>
      <w:r w:rsidRPr="00DA6962">
        <w:rPr>
          <w:rFonts w:ascii="Arial" w:hAnsi="Arial" w:cs="Arial"/>
          <w:sz w:val="20"/>
          <w:szCs w:val="20"/>
          <w:lang w:val="en-GB"/>
        </w:rPr>
        <w:t>The necessary funds in order to keep with the principle of national solidarity;</w:t>
      </w:r>
    </w:p>
    <w:p w:rsidR="00645A1B" w:rsidRPr="00DA6962" w:rsidRDefault="00645A1B" w:rsidP="00DA6962">
      <w:pPr>
        <w:pStyle w:val="ListParagraph"/>
        <w:numPr>
          <w:ilvl w:val="0"/>
          <w:numId w:val="6"/>
        </w:numPr>
        <w:spacing w:after="0" w:line="240" w:lineRule="auto"/>
        <w:jc w:val="both"/>
        <w:rPr>
          <w:rFonts w:ascii="Arial" w:hAnsi="Arial" w:cs="Arial"/>
          <w:sz w:val="20"/>
          <w:szCs w:val="20"/>
          <w:lang w:val="en-GB"/>
        </w:rPr>
      </w:pPr>
      <w:r w:rsidRPr="00DA6962">
        <w:rPr>
          <w:rFonts w:ascii="Arial" w:hAnsi="Arial" w:cs="Arial"/>
          <w:sz w:val="20"/>
          <w:szCs w:val="20"/>
          <w:lang w:val="en-GB"/>
        </w:rPr>
        <w:t>Proceeds from the Region’s assets.</w:t>
      </w:r>
    </w:p>
    <w:p w:rsidR="00645A1B" w:rsidRPr="00DA6962" w:rsidRDefault="00645A1B" w:rsidP="00DA6962">
      <w:pPr>
        <w:pStyle w:val="ListParagraph"/>
        <w:spacing w:after="0" w:line="240" w:lineRule="auto"/>
        <w:jc w:val="both"/>
        <w:rPr>
          <w:rFonts w:ascii="Arial" w:hAnsi="Arial" w:cs="Arial"/>
          <w:sz w:val="20"/>
          <w:szCs w:val="20"/>
          <w:lang w:val="en-GB"/>
        </w:rPr>
      </w:pPr>
    </w:p>
    <w:p w:rsidR="006A6D8A" w:rsidRPr="00DA6962" w:rsidRDefault="00645A1B" w:rsidP="00DA6962">
      <w:pPr>
        <w:spacing w:after="0" w:line="240" w:lineRule="auto"/>
        <w:jc w:val="both"/>
        <w:rPr>
          <w:rFonts w:ascii="Arial" w:hAnsi="Arial" w:cs="Arial"/>
          <w:sz w:val="20"/>
          <w:szCs w:val="20"/>
          <w:lang w:val="en-GB"/>
        </w:rPr>
      </w:pPr>
      <w:r w:rsidRPr="00DA6962">
        <w:rPr>
          <w:rFonts w:ascii="Arial" w:hAnsi="Arial" w:cs="Arial"/>
          <w:sz w:val="20"/>
          <w:szCs w:val="20"/>
          <w:lang w:val="en-GB"/>
        </w:rPr>
        <w:t xml:space="preserve">Therefore, the </w:t>
      </w:r>
      <w:r w:rsidR="0075535B">
        <w:rPr>
          <w:rFonts w:ascii="Arial" w:hAnsi="Arial" w:cs="Arial"/>
          <w:sz w:val="20"/>
          <w:szCs w:val="20"/>
          <w:lang w:val="en-GB"/>
        </w:rPr>
        <w:t>I</w:t>
      </w:r>
      <w:r w:rsidRPr="00DA6962">
        <w:rPr>
          <w:rFonts w:ascii="Arial" w:hAnsi="Arial" w:cs="Arial"/>
          <w:sz w:val="20"/>
          <w:szCs w:val="20"/>
          <w:lang w:val="en-GB"/>
        </w:rPr>
        <w:t xml:space="preserve">nitiative stipulates </w:t>
      </w:r>
      <w:r w:rsidR="00906249" w:rsidRPr="00DA6962">
        <w:rPr>
          <w:rFonts w:ascii="Arial" w:hAnsi="Arial" w:cs="Arial"/>
          <w:sz w:val="20"/>
          <w:szCs w:val="20"/>
          <w:lang w:val="en-GB"/>
        </w:rPr>
        <w:t xml:space="preserve">a basic framework </w:t>
      </w:r>
      <w:r w:rsidRPr="00DA6962">
        <w:rPr>
          <w:rFonts w:ascii="Arial" w:hAnsi="Arial" w:cs="Arial"/>
          <w:sz w:val="20"/>
          <w:szCs w:val="20"/>
          <w:lang w:val="en-GB"/>
        </w:rPr>
        <w:t>of a regional financing system</w:t>
      </w:r>
      <w:r w:rsidR="00906249" w:rsidRPr="00DA6962">
        <w:rPr>
          <w:rFonts w:ascii="Arial" w:hAnsi="Arial" w:cs="Arial"/>
          <w:sz w:val="20"/>
          <w:szCs w:val="20"/>
          <w:lang w:val="en-GB"/>
        </w:rPr>
        <w:t xml:space="preserve"> with two key issues</w:t>
      </w:r>
      <w:r w:rsidRPr="00DA6962">
        <w:rPr>
          <w:rFonts w:ascii="Arial" w:hAnsi="Arial" w:cs="Arial"/>
          <w:sz w:val="20"/>
          <w:szCs w:val="20"/>
          <w:lang w:val="en-GB"/>
        </w:rPr>
        <w:t xml:space="preserve">: </w:t>
      </w:r>
    </w:p>
    <w:p w:rsidR="00645A1B" w:rsidRPr="00DA6962" w:rsidRDefault="00645A1B" w:rsidP="00DA6962">
      <w:pPr>
        <w:pStyle w:val="ListParagraph"/>
        <w:numPr>
          <w:ilvl w:val="0"/>
          <w:numId w:val="6"/>
        </w:numPr>
        <w:spacing w:after="0" w:line="240" w:lineRule="auto"/>
        <w:jc w:val="both"/>
        <w:rPr>
          <w:rFonts w:ascii="Arial" w:hAnsi="Arial" w:cs="Arial"/>
          <w:sz w:val="20"/>
          <w:szCs w:val="20"/>
          <w:lang w:val="en-GB"/>
        </w:rPr>
      </w:pPr>
      <w:r w:rsidRPr="00DA6962">
        <w:rPr>
          <w:rFonts w:ascii="Arial" w:hAnsi="Arial" w:cs="Arial"/>
          <w:sz w:val="20"/>
          <w:szCs w:val="20"/>
          <w:lang w:val="en-GB"/>
        </w:rPr>
        <w:t xml:space="preserve">Taxes, duties and levies enacted by the </w:t>
      </w:r>
      <w:r w:rsidR="0075535B">
        <w:rPr>
          <w:rFonts w:ascii="Arial" w:hAnsi="Arial" w:cs="Arial"/>
          <w:sz w:val="20"/>
          <w:szCs w:val="20"/>
          <w:lang w:val="en-GB"/>
        </w:rPr>
        <w:t>R</w:t>
      </w:r>
      <w:r w:rsidRPr="00DA6962">
        <w:rPr>
          <w:rFonts w:ascii="Arial" w:hAnsi="Arial" w:cs="Arial"/>
          <w:sz w:val="20"/>
          <w:szCs w:val="20"/>
          <w:lang w:val="en-GB"/>
        </w:rPr>
        <w:t>egion in order to guarantee the principle of fiscal responsibility to the autonomous region</w:t>
      </w:r>
      <w:r w:rsidR="0075535B">
        <w:rPr>
          <w:rFonts w:ascii="Arial" w:hAnsi="Arial" w:cs="Arial"/>
          <w:sz w:val="20"/>
          <w:szCs w:val="20"/>
          <w:lang w:val="en-GB"/>
        </w:rPr>
        <w:t>;</w:t>
      </w:r>
    </w:p>
    <w:p w:rsidR="00645A1B" w:rsidRPr="00DA6962" w:rsidRDefault="00645A1B" w:rsidP="00DA6962">
      <w:pPr>
        <w:pStyle w:val="ListParagraph"/>
        <w:numPr>
          <w:ilvl w:val="0"/>
          <w:numId w:val="6"/>
        </w:numPr>
        <w:spacing w:after="0" w:line="240" w:lineRule="auto"/>
        <w:jc w:val="both"/>
        <w:rPr>
          <w:rFonts w:ascii="Arial" w:hAnsi="Arial" w:cs="Arial"/>
          <w:sz w:val="20"/>
          <w:szCs w:val="20"/>
          <w:lang w:val="en-GB"/>
        </w:rPr>
      </w:pPr>
      <w:r w:rsidRPr="00DA6962">
        <w:rPr>
          <w:rFonts w:ascii="Arial" w:hAnsi="Arial" w:cs="Arial"/>
          <w:sz w:val="20"/>
          <w:szCs w:val="20"/>
          <w:lang w:val="en-GB"/>
        </w:rPr>
        <w:t xml:space="preserve">The necessary funds in order to guarantee the principle of national solidarity. </w:t>
      </w:r>
    </w:p>
    <w:p w:rsidR="00645A1B" w:rsidRPr="00DA6962" w:rsidRDefault="00645A1B" w:rsidP="00DA6962">
      <w:pPr>
        <w:spacing w:after="0" w:line="240" w:lineRule="auto"/>
        <w:jc w:val="both"/>
        <w:rPr>
          <w:rFonts w:ascii="Arial" w:hAnsi="Arial" w:cs="Arial"/>
          <w:sz w:val="20"/>
          <w:szCs w:val="20"/>
          <w:lang w:val="en-GB"/>
        </w:rPr>
      </w:pPr>
    </w:p>
    <w:p w:rsidR="00906249" w:rsidRPr="00DA6962" w:rsidRDefault="00AD26AB" w:rsidP="00DA6962">
      <w:pPr>
        <w:spacing w:after="0" w:line="240" w:lineRule="auto"/>
        <w:jc w:val="both"/>
        <w:rPr>
          <w:rFonts w:ascii="Arial" w:hAnsi="Arial" w:cs="Arial"/>
          <w:sz w:val="20"/>
          <w:szCs w:val="20"/>
          <w:lang w:val="en-GB"/>
        </w:rPr>
      </w:pPr>
      <w:r w:rsidRPr="00DA6962">
        <w:rPr>
          <w:rFonts w:ascii="Arial" w:hAnsi="Arial" w:cs="Arial"/>
          <w:sz w:val="20"/>
          <w:szCs w:val="20"/>
          <w:lang w:val="en-GB"/>
        </w:rPr>
        <w:t>Logically, th</w:t>
      </w:r>
      <w:r w:rsidR="00906249" w:rsidRPr="00DA6962">
        <w:rPr>
          <w:rFonts w:ascii="Arial" w:hAnsi="Arial" w:cs="Arial"/>
          <w:sz w:val="20"/>
          <w:szCs w:val="20"/>
          <w:lang w:val="en-GB"/>
        </w:rPr>
        <w:t>ese</w:t>
      </w:r>
      <w:r w:rsidRPr="00DA6962">
        <w:rPr>
          <w:rFonts w:ascii="Arial" w:hAnsi="Arial" w:cs="Arial"/>
          <w:sz w:val="20"/>
          <w:szCs w:val="20"/>
          <w:lang w:val="en-GB"/>
        </w:rPr>
        <w:t xml:space="preserve"> two issues will require a further</w:t>
      </w:r>
      <w:r w:rsidR="00906249" w:rsidRPr="00DA6962">
        <w:rPr>
          <w:rFonts w:ascii="Arial" w:hAnsi="Arial" w:cs="Arial"/>
          <w:sz w:val="20"/>
          <w:szCs w:val="20"/>
          <w:lang w:val="en-GB"/>
        </w:rPr>
        <w:t xml:space="preserve"> development made by law, which will have to take into account </w:t>
      </w:r>
      <w:r w:rsidR="0005150A" w:rsidRPr="00DA6962">
        <w:rPr>
          <w:rFonts w:ascii="Arial" w:hAnsi="Arial" w:cs="Arial"/>
          <w:sz w:val="20"/>
          <w:szCs w:val="20"/>
          <w:lang w:val="en-GB"/>
        </w:rPr>
        <w:t xml:space="preserve">other </w:t>
      </w:r>
      <w:r w:rsidR="00906249" w:rsidRPr="00DA6962">
        <w:rPr>
          <w:rFonts w:ascii="Arial" w:hAnsi="Arial" w:cs="Arial"/>
          <w:sz w:val="20"/>
          <w:szCs w:val="20"/>
          <w:lang w:val="en-GB"/>
        </w:rPr>
        <w:t xml:space="preserve">important </w:t>
      </w:r>
      <w:r w:rsidR="0005150A" w:rsidRPr="00DA6962">
        <w:rPr>
          <w:rFonts w:ascii="Arial" w:hAnsi="Arial" w:cs="Arial"/>
          <w:sz w:val="20"/>
          <w:szCs w:val="20"/>
          <w:lang w:val="en-GB"/>
        </w:rPr>
        <w:t>questions</w:t>
      </w:r>
      <w:r w:rsidR="007B47A6" w:rsidRPr="00DA6962">
        <w:rPr>
          <w:rFonts w:ascii="Arial" w:hAnsi="Arial" w:cs="Arial"/>
          <w:sz w:val="20"/>
          <w:szCs w:val="20"/>
          <w:lang w:val="en-GB"/>
        </w:rPr>
        <w:t xml:space="preserve">. As far as tax responsibility is concerned, </w:t>
      </w:r>
      <w:r w:rsidR="00906249" w:rsidRPr="00DA6962">
        <w:rPr>
          <w:rFonts w:ascii="Arial" w:hAnsi="Arial" w:cs="Arial"/>
          <w:sz w:val="20"/>
          <w:szCs w:val="20"/>
          <w:lang w:val="en-GB"/>
        </w:rPr>
        <w:t>what taxes are suitable for decentralisation</w:t>
      </w:r>
      <w:r w:rsidR="007B47A6" w:rsidRPr="00DA6962">
        <w:rPr>
          <w:rFonts w:ascii="Arial" w:hAnsi="Arial" w:cs="Arial"/>
          <w:sz w:val="20"/>
          <w:szCs w:val="20"/>
          <w:lang w:val="en-GB"/>
        </w:rPr>
        <w:t>;</w:t>
      </w:r>
      <w:r w:rsidR="00906249" w:rsidRPr="00DA6962">
        <w:rPr>
          <w:rFonts w:ascii="Arial" w:hAnsi="Arial" w:cs="Arial"/>
          <w:sz w:val="20"/>
          <w:szCs w:val="20"/>
          <w:lang w:val="en-GB"/>
        </w:rPr>
        <w:t xml:space="preserve"> what </w:t>
      </w:r>
      <w:r w:rsidR="007B47A6" w:rsidRPr="00DA6962">
        <w:rPr>
          <w:rFonts w:ascii="Arial" w:hAnsi="Arial" w:cs="Arial"/>
          <w:sz w:val="20"/>
          <w:szCs w:val="20"/>
          <w:lang w:val="en-GB"/>
        </w:rPr>
        <w:t>legal power</w:t>
      </w:r>
      <w:r w:rsidR="00F975DC" w:rsidRPr="00DA6962">
        <w:rPr>
          <w:rFonts w:ascii="Arial" w:hAnsi="Arial" w:cs="Arial"/>
          <w:sz w:val="20"/>
          <w:szCs w:val="20"/>
          <w:lang w:val="en-GB"/>
        </w:rPr>
        <w:t xml:space="preserve"> </w:t>
      </w:r>
      <w:r w:rsidR="007B47A6" w:rsidRPr="00DA6962">
        <w:rPr>
          <w:rFonts w:ascii="Arial" w:hAnsi="Arial" w:cs="Arial"/>
          <w:sz w:val="20"/>
          <w:szCs w:val="20"/>
          <w:lang w:val="en-GB"/>
        </w:rPr>
        <w:t xml:space="preserve">is allocated to the region; and what government is responsible for collecting the taxes. Regarding the equalisation mechanism, what level of national solidarity is established; </w:t>
      </w:r>
      <w:r w:rsidR="0005150A" w:rsidRPr="00DA6962">
        <w:rPr>
          <w:rFonts w:ascii="Arial" w:hAnsi="Arial" w:cs="Arial"/>
          <w:sz w:val="20"/>
          <w:szCs w:val="20"/>
          <w:lang w:val="en-GB"/>
        </w:rPr>
        <w:lastRenderedPageBreak/>
        <w:t xml:space="preserve">and </w:t>
      </w:r>
      <w:r w:rsidR="007B47A6" w:rsidRPr="00DA6962">
        <w:rPr>
          <w:rFonts w:ascii="Arial" w:hAnsi="Arial" w:cs="Arial"/>
          <w:sz w:val="20"/>
          <w:szCs w:val="20"/>
          <w:lang w:val="en-GB"/>
        </w:rPr>
        <w:t>what sort of equalisation mechanism, based on the assessment of expenditure needs (as the Spanish or the Australian one</w:t>
      </w:r>
      <w:r w:rsidR="00F975DC" w:rsidRPr="00DA6962">
        <w:rPr>
          <w:rFonts w:ascii="Arial" w:hAnsi="Arial" w:cs="Arial"/>
          <w:sz w:val="20"/>
          <w:szCs w:val="20"/>
          <w:lang w:val="en-GB"/>
        </w:rPr>
        <w:t>s</w:t>
      </w:r>
      <w:r w:rsidR="007B47A6" w:rsidRPr="00DA6962">
        <w:rPr>
          <w:rFonts w:ascii="Arial" w:hAnsi="Arial" w:cs="Arial"/>
          <w:sz w:val="20"/>
          <w:szCs w:val="20"/>
          <w:lang w:val="en-GB"/>
        </w:rPr>
        <w:t xml:space="preserve">) or based on the fiscal ability (as </w:t>
      </w:r>
      <w:r w:rsidR="0075535B">
        <w:rPr>
          <w:rFonts w:ascii="Arial" w:hAnsi="Arial" w:cs="Arial"/>
          <w:sz w:val="20"/>
          <w:szCs w:val="20"/>
          <w:lang w:val="en-GB"/>
        </w:rPr>
        <w:t xml:space="preserve">for </w:t>
      </w:r>
      <w:r w:rsidR="007B47A6" w:rsidRPr="00DA6962">
        <w:rPr>
          <w:rFonts w:ascii="Arial" w:hAnsi="Arial" w:cs="Arial"/>
          <w:sz w:val="20"/>
          <w:szCs w:val="20"/>
          <w:lang w:val="en-GB"/>
        </w:rPr>
        <w:t xml:space="preserve">the Germans or Canadians). </w:t>
      </w:r>
    </w:p>
    <w:p w:rsidR="00906249" w:rsidRPr="00DA6962" w:rsidRDefault="00906249" w:rsidP="00DA6962">
      <w:pPr>
        <w:spacing w:after="0" w:line="240" w:lineRule="auto"/>
        <w:jc w:val="both"/>
        <w:rPr>
          <w:rFonts w:ascii="Arial" w:hAnsi="Arial" w:cs="Arial"/>
          <w:sz w:val="20"/>
          <w:szCs w:val="20"/>
          <w:lang w:val="en-GB"/>
        </w:rPr>
      </w:pPr>
    </w:p>
    <w:p w:rsidR="000A73D6" w:rsidRPr="00DA6962" w:rsidRDefault="00645A1B" w:rsidP="00DA6962">
      <w:pPr>
        <w:spacing w:after="0" w:line="240" w:lineRule="auto"/>
        <w:jc w:val="both"/>
        <w:rPr>
          <w:rFonts w:ascii="Arial" w:hAnsi="Arial" w:cs="Arial"/>
          <w:sz w:val="20"/>
          <w:szCs w:val="20"/>
          <w:lang w:val="en-GB"/>
        </w:rPr>
      </w:pPr>
      <w:r w:rsidRPr="00DA6962">
        <w:rPr>
          <w:rFonts w:ascii="Arial" w:hAnsi="Arial" w:cs="Arial"/>
          <w:sz w:val="20"/>
          <w:szCs w:val="20"/>
          <w:lang w:val="en-GB"/>
        </w:rPr>
        <w:t>The</w:t>
      </w:r>
      <w:r w:rsidR="007B47A6" w:rsidRPr="00DA6962">
        <w:rPr>
          <w:rFonts w:ascii="Arial" w:hAnsi="Arial" w:cs="Arial"/>
          <w:sz w:val="20"/>
          <w:szCs w:val="20"/>
          <w:lang w:val="en-GB"/>
        </w:rPr>
        <w:t>se are rather technical issues, but indeed important for the</w:t>
      </w:r>
      <w:r w:rsidR="00F62A83" w:rsidRPr="00DA6962">
        <w:rPr>
          <w:rFonts w:ascii="Arial" w:hAnsi="Arial" w:cs="Arial"/>
          <w:sz w:val="20"/>
          <w:szCs w:val="20"/>
          <w:lang w:val="en-GB"/>
        </w:rPr>
        <w:t xml:space="preserve"> good functioning of the system. For instance, not all taxes can be easily decentralised. A value-added type tax and the corporation tax</w:t>
      </w:r>
      <w:r w:rsidR="007B47A6" w:rsidRPr="00DA6962">
        <w:rPr>
          <w:rFonts w:ascii="Arial" w:hAnsi="Arial" w:cs="Arial"/>
          <w:sz w:val="20"/>
          <w:szCs w:val="20"/>
          <w:lang w:val="en-GB"/>
        </w:rPr>
        <w:t xml:space="preserve"> </w:t>
      </w:r>
      <w:r w:rsidR="00F62A83" w:rsidRPr="00DA6962">
        <w:rPr>
          <w:rFonts w:ascii="Arial" w:hAnsi="Arial" w:cs="Arial"/>
          <w:sz w:val="20"/>
          <w:szCs w:val="20"/>
          <w:lang w:val="en-GB"/>
        </w:rPr>
        <w:t xml:space="preserve">are two examples of taxes that, although possible, are quite difficult to decentralise. An income tax or a property tax, by contrast, would be easier to decentralise, although taking into account that the possible </w:t>
      </w:r>
      <w:r w:rsidR="00F975DC" w:rsidRPr="00DA6962">
        <w:rPr>
          <w:rFonts w:ascii="Arial" w:hAnsi="Arial" w:cs="Arial"/>
          <w:sz w:val="20"/>
          <w:szCs w:val="20"/>
          <w:lang w:val="en-GB"/>
        </w:rPr>
        <w:t xml:space="preserve">impact on </w:t>
      </w:r>
      <w:r w:rsidR="00F62A83" w:rsidRPr="00DA6962">
        <w:rPr>
          <w:rFonts w:ascii="Arial" w:hAnsi="Arial" w:cs="Arial"/>
          <w:sz w:val="20"/>
          <w:szCs w:val="20"/>
          <w:lang w:val="en-GB"/>
        </w:rPr>
        <w:t xml:space="preserve">redistributive </w:t>
      </w:r>
      <w:r w:rsidR="00F975DC" w:rsidRPr="00DA6962">
        <w:rPr>
          <w:rFonts w:ascii="Arial" w:hAnsi="Arial" w:cs="Arial"/>
          <w:sz w:val="20"/>
          <w:szCs w:val="20"/>
          <w:lang w:val="en-GB"/>
        </w:rPr>
        <w:t>or competitive issues</w:t>
      </w:r>
      <w:r w:rsidR="00F62A83" w:rsidRPr="00DA6962">
        <w:rPr>
          <w:rFonts w:ascii="Arial" w:hAnsi="Arial" w:cs="Arial"/>
          <w:sz w:val="20"/>
          <w:szCs w:val="20"/>
          <w:lang w:val="en-GB"/>
        </w:rPr>
        <w:t xml:space="preserve">. </w:t>
      </w:r>
      <w:r w:rsidR="000A73D6" w:rsidRPr="00DA6962">
        <w:rPr>
          <w:rFonts w:ascii="Arial" w:hAnsi="Arial" w:cs="Arial"/>
          <w:sz w:val="20"/>
          <w:szCs w:val="20"/>
          <w:lang w:val="en-GB"/>
        </w:rPr>
        <w:t>Likewise</w:t>
      </w:r>
      <w:r w:rsidR="00F62A83" w:rsidRPr="00DA6962">
        <w:rPr>
          <w:rFonts w:ascii="Arial" w:hAnsi="Arial" w:cs="Arial"/>
          <w:sz w:val="20"/>
          <w:szCs w:val="20"/>
          <w:lang w:val="en-GB"/>
        </w:rPr>
        <w:t xml:space="preserve">, </w:t>
      </w:r>
      <w:r w:rsidR="000A73D6" w:rsidRPr="00DA6962">
        <w:rPr>
          <w:rFonts w:ascii="Arial" w:hAnsi="Arial" w:cs="Arial"/>
          <w:sz w:val="20"/>
          <w:szCs w:val="20"/>
          <w:lang w:val="en-GB"/>
        </w:rPr>
        <w:t xml:space="preserve">before decentralising tax collection and tax auditing policies </w:t>
      </w:r>
      <w:r w:rsidR="00F62A83" w:rsidRPr="00DA6962">
        <w:rPr>
          <w:rFonts w:ascii="Arial" w:hAnsi="Arial" w:cs="Arial"/>
          <w:sz w:val="20"/>
          <w:szCs w:val="20"/>
          <w:lang w:val="en-GB"/>
        </w:rPr>
        <w:t xml:space="preserve">it is </w:t>
      </w:r>
      <w:r w:rsidR="000A73D6" w:rsidRPr="00DA6962">
        <w:rPr>
          <w:rFonts w:ascii="Arial" w:hAnsi="Arial" w:cs="Arial"/>
          <w:sz w:val="20"/>
          <w:szCs w:val="20"/>
          <w:lang w:val="en-GB"/>
        </w:rPr>
        <w:t xml:space="preserve">important </w:t>
      </w:r>
      <w:r w:rsidR="00F62A83" w:rsidRPr="00DA6962">
        <w:rPr>
          <w:rFonts w:ascii="Arial" w:hAnsi="Arial" w:cs="Arial"/>
          <w:sz w:val="20"/>
          <w:szCs w:val="20"/>
          <w:lang w:val="en-GB"/>
        </w:rPr>
        <w:t xml:space="preserve">to </w:t>
      </w:r>
      <w:r w:rsidR="000A73D6" w:rsidRPr="00DA6962">
        <w:rPr>
          <w:rFonts w:ascii="Arial" w:hAnsi="Arial" w:cs="Arial"/>
          <w:sz w:val="20"/>
          <w:szCs w:val="20"/>
          <w:lang w:val="en-GB"/>
        </w:rPr>
        <w:t xml:space="preserve">assess if the regional government can be ready to take this responsibility. </w:t>
      </w:r>
      <w:r w:rsidR="00F62A83" w:rsidRPr="00DA6962">
        <w:rPr>
          <w:rFonts w:ascii="Arial" w:hAnsi="Arial" w:cs="Arial"/>
          <w:sz w:val="20"/>
          <w:szCs w:val="20"/>
          <w:lang w:val="en-GB"/>
        </w:rPr>
        <w:t xml:space="preserve">Therefore, there are significant technical matters to be considered as they finally affect the smooth functioning of the financing system. </w:t>
      </w:r>
      <w:r w:rsidR="000A73D6" w:rsidRPr="00DA6962">
        <w:rPr>
          <w:rFonts w:ascii="Arial" w:hAnsi="Arial" w:cs="Arial"/>
          <w:sz w:val="20"/>
          <w:szCs w:val="20"/>
          <w:lang w:val="en-GB"/>
        </w:rPr>
        <w:t xml:space="preserve">On the other hand, </w:t>
      </w:r>
      <w:r w:rsidR="0075535B">
        <w:rPr>
          <w:rFonts w:ascii="Arial" w:hAnsi="Arial" w:cs="Arial"/>
          <w:sz w:val="20"/>
          <w:szCs w:val="20"/>
          <w:lang w:val="en-GB"/>
        </w:rPr>
        <w:t xml:space="preserve">the </w:t>
      </w:r>
      <w:r w:rsidR="000A73D6" w:rsidRPr="00DA6962">
        <w:rPr>
          <w:rFonts w:ascii="Arial" w:hAnsi="Arial" w:cs="Arial"/>
          <w:sz w:val="20"/>
          <w:szCs w:val="20"/>
          <w:lang w:val="en-GB"/>
        </w:rPr>
        <w:t xml:space="preserve">equalisation mechanism </w:t>
      </w:r>
      <w:r w:rsidR="00F975DC" w:rsidRPr="00DA6962">
        <w:rPr>
          <w:rFonts w:ascii="Arial" w:hAnsi="Arial" w:cs="Arial"/>
          <w:sz w:val="20"/>
          <w:szCs w:val="20"/>
          <w:lang w:val="en-GB"/>
        </w:rPr>
        <w:t xml:space="preserve">is </w:t>
      </w:r>
      <w:r w:rsidR="000A73D6" w:rsidRPr="00DA6962">
        <w:rPr>
          <w:rFonts w:ascii="Arial" w:hAnsi="Arial" w:cs="Arial"/>
          <w:sz w:val="20"/>
          <w:szCs w:val="20"/>
          <w:lang w:val="en-GB"/>
        </w:rPr>
        <w:t xml:space="preserve">a sensitive issue, where the widest possible consensus is always welcome. If there is a single autonomous region, the mechanism requires the agreement from both the regional and the central governments. </w:t>
      </w:r>
    </w:p>
    <w:p w:rsidR="00753A88" w:rsidRPr="00DA6962" w:rsidRDefault="00753A88" w:rsidP="00DA6962">
      <w:pPr>
        <w:spacing w:after="0" w:line="240" w:lineRule="auto"/>
        <w:jc w:val="both"/>
        <w:rPr>
          <w:rFonts w:ascii="Arial" w:hAnsi="Arial" w:cs="Arial"/>
          <w:sz w:val="20"/>
          <w:szCs w:val="20"/>
          <w:lang w:val="en-GB"/>
        </w:rPr>
      </w:pPr>
    </w:p>
    <w:p w:rsidR="00753A88" w:rsidRPr="00DA6962" w:rsidRDefault="00753A88" w:rsidP="00DA6962">
      <w:pPr>
        <w:spacing w:after="0" w:line="240" w:lineRule="auto"/>
        <w:jc w:val="both"/>
        <w:rPr>
          <w:rFonts w:ascii="Arial" w:hAnsi="Arial" w:cs="Arial"/>
          <w:sz w:val="20"/>
          <w:szCs w:val="20"/>
          <w:lang w:val="en-GB"/>
        </w:rPr>
      </w:pPr>
      <w:r w:rsidRPr="00DA6962">
        <w:rPr>
          <w:rFonts w:ascii="Arial" w:hAnsi="Arial" w:cs="Arial"/>
          <w:sz w:val="20"/>
          <w:szCs w:val="20"/>
          <w:lang w:val="en-GB"/>
        </w:rPr>
        <w:t xml:space="preserve">In conclusion, decentralisation is an open process that evolves in time. </w:t>
      </w:r>
      <w:r w:rsidR="00F975DC" w:rsidRPr="00DA6962">
        <w:rPr>
          <w:rFonts w:ascii="Arial" w:hAnsi="Arial" w:cs="Arial"/>
          <w:sz w:val="20"/>
          <w:szCs w:val="20"/>
          <w:lang w:val="en-GB"/>
        </w:rPr>
        <w:t xml:space="preserve">For that reason, it is important </w:t>
      </w:r>
      <w:r w:rsidR="000D73C0" w:rsidRPr="00DA6962">
        <w:rPr>
          <w:rFonts w:ascii="Arial" w:hAnsi="Arial" w:cs="Arial"/>
          <w:sz w:val="20"/>
          <w:szCs w:val="20"/>
          <w:lang w:val="en-GB"/>
        </w:rPr>
        <w:t>to introduce a clear and a coherent financing system, to establish mechanisms of collaboration between the different govern</w:t>
      </w:r>
      <w:bookmarkStart w:id="0" w:name="_GoBack"/>
      <w:bookmarkEnd w:id="0"/>
      <w:r w:rsidR="000D73C0" w:rsidRPr="00DA6962">
        <w:rPr>
          <w:rFonts w:ascii="Arial" w:hAnsi="Arial" w:cs="Arial"/>
          <w:sz w:val="20"/>
          <w:szCs w:val="20"/>
          <w:lang w:val="en-GB"/>
        </w:rPr>
        <w:t xml:space="preserve">ments and to foresee </w:t>
      </w:r>
      <w:r w:rsidR="00A035C0" w:rsidRPr="00DA6962">
        <w:rPr>
          <w:rFonts w:ascii="Arial" w:hAnsi="Arial" w:cs="Arial"/>
          <w:sz w:val="20"/>
          <w:szCs w:val="20"/>
          <w:lang w:val="en-GB"/>
        </w:rPr>
        <w:t xml:space="preserve">periodically </w:t>
      </w:r>
      <w:r w:rsidR="000D73C0" w:rsidRPr="00DA6962">
        <w:rPr>
          <w:rFonts w:ascii="Arial" w:hAnsi="Arial" w:cs="Arial"/>
          <w:sz w:val="20"/>
          <w:szCs w:val="20"/>
          <w:lang w:val="en-GB"/>
        </w:rPr>
        <w:t>the assessment and revision of the financing system.</w:t>
      </w:r>
    </w:p>
    <w:p w:rsidR="006A6D8A" w:rsidRPr="00DA6962" w:rsidRDefault="006A6D8A" w:rsidP="00DA6962">
      <w:pPr>
        <w:spacing w:after="0" w:line="240" w:lineRule="auto"/>
        <w:rPr>
          <w:rFonts w:ascii="Arial" w:hAnsi="Arial" w:cs="Arial"/>
          <w:sz w:val="20"/>
          <w:szCs w:val="20"/>
          <w:lang w:val="en-GB"/>
        </w:rPr>
      </w:pPr>
    </w:p>
    <w:p w:rsidR="002119B3" w:rsidRPr="00DA6962" w:rsidRDefault="002119B3" w:rsidP="00DA6962">
      <w:pPr>
        <w:spacing w:after="0" w:line="240" w:lineRule="auto"/>
        <w:jc w:val="both"/>
        <w:rPr>
          <w:rFonts w:ascii="Arial" w:hAnsi="Arial" w:cs="Arial"/>
          <w:b/>
          <w:sz w:val="20"/>
          <w:szCs w:val="20"/>
          <w:lang w:val="en-GB"/>
        </w:rPr>
      </w:pPr>
      <w:r w:rsidRPr="00DA6962">
        <w:rPr>
          <w:rFonts w:ascii="Arial" w:hAnsi="Arial" w:cs="Arial"/>
          <w:b/>
          <w:sz w:val="20"/>
          <w:szCs w:val="20"/>
          <w:lang w:val="en-GB"/>
        </w:rPr>
        <w:t>References</w:t>
      </w:r>
    </w:p>
    <w:p w:rsidR="002119B3" w:rsidRPr="00DA6962" w:rsidRDefault="002119B3" w:rsidP="00DA6962">
      <w:pPr>
        <w:spacing w:after="0" w:line="240" w:lineRule="auto"/>
        <w:jc w:val="both"/>
        <w:rPr>
          <w:rFonts w:ascii="Arial" w:hAnsi="Arial" w:cs="Arial"/>
          <w:sz w:val="20"/>
          <w:szCs w:val="20"/>
          <w:lang w:val="en-GB"/>
        </w:rPr>
      </w:pPr>
    </w:p>
    <w:p w:rsidR="00A31719" w:rsidRPr="0075535B" w:rsidRDefault="002119B3" w:rsidP="0075535B">
      <w:pPr>
        <w:pStyle w:val="ListParagraph"/>
        <w:numPr>
          <w:ilvl w:val="0"/>
          <w:numId w:val="13"/>
        </w:numPr>
        <w:spacing w:after="0" w:line="240" w:lineRule="auto"/>
        <w:jc w:val="both"/>
        <w:rPr>
          <w:rFonts w:ascii="Arial" w:hAnsi="Arial" w:cs="Arial"/>
          <w:sz w:val="20"/>
          <w:szCs w:val="20"/>
          <w:lang w:val="en-GB"/>
        </w:rPr>
      </w:pPr>
      <w:r w:rsidRPr="0075535B">
        <w:rPr>
          <w:rFonts w:ascii="Arial" w:hAnsi="Arial" w:cs="Arial"/>
          <w:sz w:val="20"/>
          <w:szCs w:val="20"/>
          <w:lang w:val="en-GB"/>
        </w:rPr>
        <w:t xml:space="preserve">Bosch, N. (2010), “The Reform of Regional Government Finances in Spain”, </w:t>
      </w:r>
      <w:r w:rsidRPr="0075535B">
        <w:rPr>
          <w:rFonts w:ascii="Arial" w:hAnsi="Arial" w:cs="Arial"/>
          <w:i/>
          <w:sz w:val="20"/>
          <w:szCs w:val="20"/>
          <w:lang w:val="en-GB"/>
        </w:rPr>
        <w:t>IEB’s World Report</w:t>
      </w:r>
      <w:r w:rsidR="00E234C7" w:rsidRPr="0075535B">
        <w:rPr>
          <w:rFonts w:ascii="Arial" w:hAnsi="Arial" w:cs="Arial"/>
          <w:i/>
          <w:sz w:val="20"/>
          <w:szCs w:val="20"/>
          <w:lang w:val="en-GB"/>
        </w:rPr>
        <w:t xml:space="preserve"> </w:t>
      </w:r>
      <w:r w:rsidRPr="0075535B">
        <w:rPr>
          <w:rFonts w:ascii="Arial" w:hAnsi="Arial" w:cs="Arial"/>
          <w:i/>
          <w:sz w:val="20"/>
          <w:szCs w:val="20"/>
          <w:lang w:val="en-GB"/>
        </w:rPr>
        <w:t>on Fiscal Federalism</w:t>
      </w:r>
      <w:r w:rsidR="0075535B" w:rsidRPr="0075535B">
        <w:rPr>
          <w:rFonts w:ascii="Arial" w:hAnsi="Arial" w:cs="Arial"/>
          <w:i/>
          <w:sz w:val="20"/>
          <w:szCs w:val="20"/>
          <w:lang w:val="en-GB"/>
        </w:rPr>
        <w:t xml:space="preserve"> 20</w:t>
      </w:r>
      <w:r w:rsidRPr="0075535B">
        <w:rPr>
          <w:rFonts w:ascii="Arial" w:hAnsi="Arial" w:cs="Arial"/>
          <w:i/>
          <w:sz w:val="20"/>
          <w:szCs w:val="20"/>
          <w:lang w:val="en-GB"/>
        </w:rPr>
        <w:t>09</w:t>
      </w:r>
      <w:r w:rsidRPr="0075535B">
        <w:rPr>
          <w:rFonts w:ascii="Arial" w:hAnsi="Arial" w:cs="Arial"/>
          <w:sz w:val="20"/>
          <w:szCs w:val="20"/>
          <w:lang w:val="en-GB"/>
        </w:rPr>
        <w:t xml:space="preserve">, </w:t>
      </w:r>
      <w:proofErr w:type="spellStart"/>
      <w:r w:rsidRPr="0075535B">
        <w:rPr>
          <w:rFonts w:ascii="Arial" w:hAnsi="Arial" w:cs="Arial"/>
          <w:sz w:val="20"/>
          <w:szCs w:val="20"/>
          <w:lang w:val="en-GB"/>
        </w:rPr>
        <w:t>Instituto</w:t>
      </w:r>
      <w:proofErr w:type="spellEnd"/>
      <w:r w:rsidRPr="0075535B">
        <w:rPr>
          <w:rFonts w:ascii="Arial" w:hAnsi="Arial" w:cs="Arial"/>
          <w:sz w:val="20"/>
          <w:szCs w:val="20"/>
          <w:lang w:val="en-GB"/>
        </w:rPr>
        <w:t xml:space="preserve"> de </w:t>
      </w:r>
      <w:proofErr w:type="spellStart"/>
      <w:r w:rsidRPr="0075535B">
        <w:rPr>
          <w:rFonts w:ascii="Arial" w:hAnsi="Arial" w:cs="Arial"/>
          <w:sz w:val="20"/>
          <w:szCs w:val="20"/>
          <w:lang w:val="en-GB"/>
        </w:rPr>
        <w:t>Economía</w:t>
      </w:r>
      <w:proofErr w:type="spellEnd"/>
      <w:r w:rsidRPr="0075535B">
        <w:rPr>
          <w:rFonts w:ascii="Arial" w:hAnsi="Arial" w:cs="Arial"/>
          <w:sz w:val="20"/>
          <w:szCs w:val="20"/>
          <w:lang w:val="en-GB"/>
        </w:rPr>
        <w:t xml:space="preserve"> de Barcelona.</w:t>
      </w:r>
    </w:p>
    <w:p w:rsidR="00534C0C" w:rsidRPr="0075535B" w:rsidRDefault="001E0952" w:rsidP="0075535B">
      <w:pPr>
        <w:pStyle w:val="ListParagraph"/>
        <w:numPr>
          <w:ilvl w:val="0"/>
          <w:numId w:val="13"/>
        </w:numPr>
        <w:spacing w:after="0" w:line="240" w:lineRule="auto"/>
        <w:jc w:val="both"/>
        <w:rPr>
          <w:rFonts w:ascii="Arial" w:hAnsi="Arial" w:cs="Arial"/>
          <w:sz w:val="20"/>
          <w:szCs w:val="20"/>
        </w:rPr>
      </w:pPr>
      <w:r w:rsidRPr="0075535B">
        <w:rPr>
          <w:rFonts w:ascii="Arial" w:hAnsi="Arial" w:cs="Arial"/>
          <w:sz w:val="20"/>
          <w:szCs w:val="20"/>
        </w:rPr>
        <w:t>Bosch, N.; Durán</w:t>
      </w:r>
      <w:r w:rsidR="002119B3" w:rsidRPr="0075535B">
        <w:rPr>
          <w:rFonts w:ascii="Arial" w:hAnsi="Arial" w:cs="Arial"/>
          <w:sz w:val="20"/>
          <w:szCs w:val="20"/>
        </w:rPr>
        <w:t xml:space="preserve"> Cabré</w:t>
      </w:r>
      <w:r w:rsidRPr="0075535B">
        <w:rPr>
          <w:rFonts w:ascii="Arial" w:hAnsi="Arial" w:cs="Arial"/>
          <w:sz w:val="20"/>
          <w:szCs w:val="20"/>
        </w:rPr>
        <w:t xml:space="preserve">, J.M. (2005), “Evolución del sistema de financiación de las CCAA en los últimos 25 años y perspectivas de reforma”, in N. Bosch; J.M. Durán </w:t>
      </w:r>
      <w:r w:rsidR="002119B3" w:rsidRPr="0075535B">
        <w:rPr>
          <w:rFonts w:ascii="Arial" w:hAnsi="Arial" w:cs="Arial"/>
          <w:sz w:val="20"/>
          <w:szCs w:val="20"/>
        </w:rPr>
        <w:t xml:space="preserve">Cabré </w:t>
      </w:r>
      <w:r w:rsidRPr="0075535B">
        <w:rPr>
          <w:rFonts w:ascii="Arial" w:hAnsi="Arial" w:cs="Arial"/>
          <w:sz w:val="20"/>
          <w:szCs w:val="20"/>
        </w:rPr>
        <w:t>(ed</w:t>
      </w:r>
      <w:r w:rsidR="002119B3" w:rsidRPr="0075535B">
        <w:rPr>
          <w:rFonts w:ascii="Arial" w:hAnsi="Arial" w:cs="Arial"/>
          <w:sz w:val="20"/>
          <w:szCs w:val="20"/>
        </w:rPr>
        <w:t>s</w:t>
      </w:r>
      <w:r w:rsidR="0075535B">
        <w:rPr>
          <w:rFonts w:ascii="Arial" w:hAnsi="Arial" w:cs="Arial"/>
          <w:sz w:val="20"/>
          <w:szCs w:val="20"/>
        </w:rPr>
        <w:t>.</w:t>
      </w:r>
      <w:r w:rsidRPr="0075535B">
        <w:rPr>
          <w:rFonts w:ascii="Arial" w:hAnsi="Arial" w:cs="Arial"/>
          <w:sz w:val="20"/>
          <w:szCs w:val="20"/>
        </w:rPr>
        <w:t xml:space="preserve">) </w:t>
      </w:r>
      <w:r w:rsidRPr="0075535B">
        <w:rPr>
          <w:rFonts w:ascii="Arial" w:hAnsi="Arial" w:cs="Arial"/>
          <w:i/>
          <w:sz w:val="20"/>
          <w:szCs w:val="20"/>
        </w:rPr>
        <w:t>La financiación de las comunidades autónomas: Políticas tributarias y solidaridad interterritorial</w:t>
      </w:r>
      <w:r w:rsidRPr="0075535B">
        <w:rPr>
          <w:rFonts w:ascii="Arial" w:hAnsi="Arial" w:cs="Arial"/>
          <w:sz w:val="20"/>
          <w:szCs w:val="20"/>
        </w:rPr>
        <w:t xml:space="preserve">, </w:t>
      </w:r>
      <w:proofErr w:type="spellStart"/>
      <w:r w:rsidRPr="0075535B">
        <w:rPr>
          <w:rFonts w:ascii="Arial" w:hAnsi="Arial" w:cs="Arial"/>
          <w:sz w:val="20"/>
          <w:szCs w:val="20"/>
        </w:rPr>
        <w:t>Publicacions</w:t>
      </w:r>
      <w:proofErr w:type="spellEnd"/>
      <w:r w:rsidRPr="0075535B">
        <w:rPr>
          <w:rFonts w:ascii="Arial" w:hAnsi="Arial" w:cs="Arial"/>
          <w:sz w:val="20"/>
          <w:szCs w:val="20"/>
        </w:rPr>
        <w:t xml:space="preserve"> i </w:t>
      </w:r>
      <w:proofErr w:type="spellStart"/>
      <w:r w:rsidRPr="0075535B">
        <w:rPr>
          <w:rFonts w:ascii="Arial" w:hAnsi="Arial" w:cs="Arial"/>
          <w:sz w:val="20"/>
          <w:szCs w:val="20"/>
        </w:rPr>
        <w:t>Edicions</w:t>
      </w:r>
      <w:proofErr w:type="spellEnd"/>
      <w:r w:rsidRPr="0075535B">
        <w:rPr>
          <w:rFonts w:ascii="Arial" w:hAnsi="Arial" w:cs="Arial"/>
          <w:sz w:val="20"/>
          <w:szCs w:val="20"/>
        </w:rPr>
        <w:t xml:space="preserve"> </w:t>
      </w:r>
      <w:proofErr w:type="spellStart"/>
      <w:r w:rsidRPr="0075535B">
        <w:rPr>
          <w:rFonts w:ascii="Arial" w:hAnsi="Arial" w:cs="Arial"/>
          <w:sz w:val="20"/>
          <w:szCs w:val="20"/>
        </w:rPr>
        <w:t>Universitat</w:t>
      </w:r>
      <w:proofErr w:type="spellEnd"/>
      <w:r w:rsidRPr="0075535B">
        <w:rPr>
          <w:rFonts w:ascii="Arial" w:hAnsi="Arial" w:cs="Arial"/>
          <w:sz w:val="20"/>
          <w:szCs w:val="20"/>
        </w:rPr>
        <w:t xml:space="preserve"> de Barcelona.</w:t>
      </w:r>
    </w:p>
    <w:p w:rsidR="002119B3" w:rsidRPr="0075535B" w:rsidRDefault="002119B3" w:rsidP="0075535B">
      <w:pPr>
        <w:pStyle w:val="ListParagraph"/>
        <w:numPr>
          <w:ilvl w:val="0"/>
          <w:numId w:val="13"/>
        </w:numPr>
        <w:spacing w:after="0" w:line="240" w:lineRule="auto"/>
        <w:jc w:val="both"/>
        <w:rPr>
          <w:rFonts w:ascii="Arial" w:hAnsi="Arial" w:cs="Arial"/>
          <w:sz w:val="20"/>
          <w:szCs w:val="20"/>
          <w:lang w:val="en-GB"/>
        </w:rPr>
      </w:pPr>
      <w:r w:rsidRPr="0075535B">
        <w:rPr>
          <w:rFonts w:ascii="Arial" w:hAnsi="Arial" w:cs="Arial"/>
          <w:sz w:val="20"/>
          <w:szCs w:val="20"/>
          <w:lang w:val="en-GB"/>
        </w:rPr>
        <w:t xml:space="preserve">Bosch, N.; </w:t>
      </w:r>
      <w:proofErr w:type="spellStart"/>
      <w:r w:rsidRPr="0075535B">
        <w:rPr>
          <w:rFonts w:ascii="Arial" w:hAnsi="Arial" w:cs="Arial"/>
          <w:sz w:val="20"/>
          <w:szCs w:val="20"/>
          <w:lang w:val="en-GB"/>
        </w:rPr>
        <w:t>Durán</w:t>
      </w:r>
      <w:proofErr w:type="spellEnd"/>
      <w:r w:rsidRPr="0075535B">
        <w:rPr>
          <w:rFonts w:ascii="Arial" w:hAnsi="Arial" w:cs="Arial"/>
          <w:sz w:val="20"/>
          <w:szCs w:val="20"/>
          <w:lang w:val="en-GB"/>
        </w:rPr>
        <w:t xml:space="preserve"> </w:t>
      </w:r>
      <w:proofErr w:type="spellStart"/>
      <w:r w:rsidRPr="0075535B">
        <w:rPr>
          <w:rFonts w:ascii="Arial" w:hAnsi="Arial" w:cs="Arial"/>
          <w:sz w:val="20"/>
          <w:szCs w:val="20"/>
          <w:lang w:val="en-GB"/>
        </w:rPr>
        <w:t>Cabré</w:t>
      </w:r>
      <w:proofErr w:type="spellEnd"/>
      <w:r w:rsidRPr="0075535B">
        <w:rPr>
          <w:rFonts w:ascii="Arial" w:hAnsi="Arial" w:cs="Arial"/>
          <w:sz w:val="20"/>
          <w:szCs w:val="20"/>
          <w:lang w:val="en-GB"/>
        </w:rPr>
        <w:t xml:space="preserve">, J.M. (2008), “The financing system of Spanish regions: main features, weak points and possible reforms” in </w:t>
      </w:r>
      <w:r w:rsidRPr="0075535B">
        <w:rPr>
          <w:rFonts w:ascii="Arial" w:hAnsi="Arial" w:cs="Arial"/>
          <w:i/>
          <w:sz w:val="20"/>
          <w:szCs w:val="20"/>
          <w:lang w:val="en-GB"/>
        </w:rPr>
        <w:t>Fiscal Federalism and Political Decentralization: Lessons from Spain, Germany and Canada</w:t>
      </w:r>
      <w:r w:rsidRPr="0075535B">
        <w:rPr>
          <w:rFonts w:ascii="Arial" w:hAnsi="Arial" w:cs="Arial"/>
          <w:sz w:val="20"/>
          <w:szCs w:val="20"/>
          <w:lang w:val="en-GB"/>
        </w:rPr>
        <w:t xml:space="preserve">, N. Bosch and J.M. </w:t>
      </w:r>
      <w:proofErr w:type="spellStart"/>
      <w:r w:rsidRPr="0075535B">
        <w:rPr>
          <w:rFonts w:ascii="Arial" w:hAnsi="Arial" w:cs="Arial"/>
          <w:sz w:val="20"/>
          <w:szCs w:val="20"/>
          <w:lang w:val="en-GB"/>
        </w:rPr>
        <w:t>Durán</w:t>
      </w:r>
      <w:proofErr w:type="spellEnd"/>
      <w:r w:rsidRPr="0075535B">
        <w:rPr>
          <w:rFonts w:ascii="Arial" w:hAnsi="Arial" w:cs="Arial"/>
          <w:sz w:val="20"/>
          <w:szCs w:val="20"/>
          <w:lang w:val="en-GB"/>
        </w:rPr>
        <w:t xml:space="preserve"> </w:t>
      </w:r>
      <w:proofErr w:type="spellStart"/>
      <w:r w:rsidRPr="0075535B">
        <w:rPr>
          <w:rFonts w:ascii="Arial" w:hAnsi="Arial" w:cs="Arial"/>
          <w:sz w:val="20"/>
          <w:szCs w:val="20"/>
          <w:lang w:val="en-GB"/>
        </w:rPr>
        <w:t>Cabré</w:t>
      </w:r>
      <w:proofErr w:type="spellEnd"/>
      <w:r w:rsidRPr="0075535B">
        <w:rPr>
          <w:rFonts w:ascii="Arial" w:hAnsi="Arial" w:cs="Arial"/>
          <w:sz w:val="20"/>
          <w:szCs w:val="20"/>
          <w:lang w:val="en-GB"/>
        </w:rPr>
        <w:t xml:space="preserve"> (eds</w:t>
      </w:r>
      <w:r w:rsidR="0075535B">
        <w:rPr>
          <w:rFonts w:ascii="Arial" w:hAnsi="Arial" w:cs="Arial"/>
          <w:sz w:val="20"/>
          <w:szCs w:val="20"/>
          <w:lang w:val="en-GB"/>
        </w:rPr>
        <w:t>.</w:t>
      </w:r>
      <w:r w:rsidRPr="0075535B">
        <w:rPr>
          <w:rFonts w:ascii="Arial" w:hAnsi="Arial" w:cs="Arial"/>
          <w:sz w:val="20"/>
          <w:szCs w:val="20"/>
          <w:lang w:val="en-GB"/>
        </w:rPr>
        <w:t xml:space="preserve">), Edward </w:t>
      </w:r>
      <w:proofErr w:type="spellStart"/>
      <w:r w:rsidRPr="0075535B">
        <w:rPr>
          <w:rFonts w:ascii="Arial" w:hAnsi="Arial" w:cs="Arial"/>
          <w:sz w:val="20"/>
          <w:szCs w:val="20"/>
          <w:lang w:val="en-GB"/>
        </w:rPr>
        <w:t>Elgar</w:t>
      </w:r>
      <w:proofErr w:type="spellEnd"/>
      <w:r w:rsidRPr="0075535B">
        <w:rPr>
          <w:rFonts w:ascii="Arial" w:hAnsi="Arial" w:cs="Arial"/>
          <w:sz w:val="20"/>
          <w:szCs w:val="20"/>
          <w:lang w:val="en-GB"/>
        </w:rPr>
        <w:t xml:space="preserve"> Publishing Ltd.</w:t>
      </w:r>
    </w:p>
    <w:p w:rsidR="002119B3" w:rsidRPr="0075535B" w:rsidRDefault="002119B3" w:rsidP="0075535B">
      <w:pPr>
        <w:pStyle w:val="ListParagraph"/>
        <w:numPr>
          <w:ilvl w:val="0"/>
          <w:numId w:val="13"/>
        </w:numPr>
        <w:spacing w:after="0" w:line="240" w:lineRule="auto"/>
        <w:jc w:val="both"/>
        <w:rPr>
          <w:rFonts w:ascii="Arial" w:hAnsi="Arial" w:cs="Arial"/>
          <w:sz w:val="20"/>
          <w:szCs w:val="20"/>
        </w:rPr>
      </w:pPr>
      <w:r w:rsidRPr="0075535B">
        <w:rPr>
          <w:rFonts w:ascii="Arial" w:hAnsi="Arial" w:cs="Arial"/>
          <w:sz w:val="20"/>
          <w:szCs w:val="20"/>
        </w:rPr>
        <w:t xml:space="preserve">De la Fuente, A. (2012), “El sistema de financiación regional: la liquidación de 2010 y algunas </w:t>
      </w:r>
      <w:proofErr w:type="spellStart"/>
      <w:r w:rsidRPr="0075535B">
        <w:rPr>
          <w:rFonts w:ascii="Arial" w:hAnsi="Arial" w:cs="Arial"/>
          <w:sz w:val="20"/>
          <w:szCs w:val="20"/>
        </w:rPr>
        <w:t>relfexiones</w:t>
      </w:r>
      <w:proofErr w:type="spellEnd"/>
      <w:r w:rsidRPr="0075535B">
        <w:rPr>
          <w:rFonts w:ascii="Arial" w:hAnsi="Arial" w:cs="Arial"/>
          <w:sz w:val="20"/>
          <w:szCs w:val="20"/>
        </w:rPr>
        <w:t xml:space="preserve"> sobre la reciente reforma”, Hacienda Pública Española / </w:t>
      </w:r>
      <w:proofErr w:type="spellStart"/>
      <w:r w:rsidRPr="0075535B">
        <w:rPr>
          <w:rFonts w:ascii="Arial" w:hAnsi="Arial" w:cs="Arial"/>
          <w:i/>
          <w:sz w:val="20"/>
          <w:szCs w:val="20"/>
        </w:rPr>
        <w:t>Review</w:t>
      </w:r>
      <w:proofErr w:type="spellEnd"/>
      <w:r w:rsidRPr="0075535B">
        <w:rPr>
          <w:rFonts w:ascii="Arial" w:hAnsi="Arial" w:cs="Arial"/>
          <w:i/>
          <w:sz w:val="20"/>
          <w:szCs w:val="20"/>
        </w:rPr>
        <w:t xml:space="preserve"> of </w:t>
      </w:r>
      <w:proofErr w:type="spellStart"/>
      <w:r w:rsidRPr="0075535B">
        <w:rPr>
          <w:rFonts w:ascii="Arial" w:hAnsi="Arial" w:cs="Arial"/>
          <w:i/>
          <w:sz w:val="20"/>
          <w:szCs w:val="20"/>
        </w:rPr>
        <w:t>Public</w:t>
      </w:r>
      <w:proofErr w:type="spellEnd"/>
      <w:r w:rsidRPr="0075535B">
        <w:rPr>
          <w:rFonts w:ascii="Arial" w:hAnsi="Arial" w:cs="Arial"/>
          <w:i/>
          <w:sz w:val="20"/>
          <w:szCs w:val="20"/>
        </w:rPr>
        <w:t xml:space="preserve"> </w:t>
      </w:r>
      <w:proofErr w:type="spellStart"/>
      <w:r w:rsidRPr="0075535B">
        <w:rPr>
          <w:rFonts w:ascii="Arial" w:hAnsi="Arial" w:cs="Arial"/>
          <w:i/>
          <w:sz w:val="20"/>
          <w:szCs w:val="20"/>
        </w:rPr>
        <w:t>Economics</w:t>
      </w:r>
      <w:proofErr w:type="spellEnd"/>
      <w:r w:rsidRPr="0075535B">
        <w:rPr>
          <w:rFonts w:ascii="Arial" w:hAnsi="Arial" w:cs="Arial"/>
          <w:sz w:val="20"/>
          <w:szCs w:val="20"/>
        </w:rPr>
        <w:t>, 203, 121-138.</w:t>
      </w:r>
    </w:p>
    <w:p w:rsidR="00387B40" w:rsidRPr="0075535B" w:rsidRDefault="00387B40" w:rsidP="0075535B">
      <w:pPr>
        <w:pStyle w:val="ListParagraph"/>
        <w:numPr>
          <w:ilvl w:val="0"/>
          <w:numId w:val="13"/>
        </w:numPr>
        <w:spacing w:after="0" w:line="240" w:lineRule="auto"/>
        <w:jc w:val="both"/>
        <w:rPr>
          <w:rFonts w:ascii="Arial" w:hAnsi="Arial" w:cs="Arial"/>
          <w:sz w:val="20"/>
          <w:szCs w:val="20"/>
          <w:lang w:val="en-GB"/>
        </w:rPr>
      </w:pPr>
      <w:r w:rsidRPr="0075535B">
        <w:rPr>
          <w:rFonts w:ascii="Arial" w:hAnsi="Arial" w:cs="Arial"/>
          <w:sz w:val="20"/>
          <w:szCs w:val="20"/>
        </w:rPr>
        <w:t xml:space="preserve">Instituto de Estudios Fiscales (2011). </w:t>
      </w:r>
      <w:r w:rsidRPr="0075535B">
        <w:rPr>
          <w:rFonts w:ascii="Arial" w:hAnsi="Arial" w:cs="Arial"/>
          <w:i/>
          <w:sz w:val="20"/>
          <w:szCs w:val="20"/>
        </w:rPr>
        <w:t>Opiniones y actitudes fiscales de los españoles en 2010</w:t>
      </w:r>
      <w:r w:rsidRPr="0075535B">
        <w:rPr>
          <w:rFonts w:ascii="Arial" w:hAnsi="Arial" w:cs="Arial"/>
          <w:sz w:val="20"/>
          <w:szCs w:val="20"/>
        </w:rPr>
        <w:t xml:space="preserve">. </w:t>
      </w:r>
      <w:proofErr w:type="spellStart"/>
      <w:r w:rsidRPr="0075535B">
        <w:rPr>
          <w:rFonts w:ascii="Arial" w:hAnsi="Arial" w:cs="Arial"/>
          <w:sz w:val="20"/>
          <w:szCs w:val="20"/>
          <w:lang w:val="en-GB"/>
        </w:rPr>
        <w:t>Documentos</w:t>
      </w:r>
      <w:proofErr w:type="spellEnd"/>
      <w:r w:rsidRPr="0075535B">
        <w:rPr>
          <w:rFonts w:ascii="Arial" w:hAnsi="Arial" w:cs="Arial"/>
          <w:sz w:val="20"/>
          <w:szCs w:val="20"/>
          <w:lang w:val="en-GB"/>
        </w:rPr>
        <w:t xml:space="preserve"> de </w:t>
      </w:r>
      <w:proofErr w:type="spellStart"/>
      <w:r w:rsidRPr="0075535B">
        <w:rPr>
          <w:rFonts w:ascii="Arial" w:hAnsi="Arial" w:cs="Arial"/>
          <w:sz w:val="20"/>
          <w:szCs w:val="20"/>
          <w:lang w:val="en-GB"/>
        </w:rPr>
        <w:t>Trabajo</w:t>
      </w:r>
      <w:proofErr w:type="spellEnd"/>
      <w:r w:rsidRPr="0075535B">
        <w:rPr>
          <w:rFonts w:ascii="Arial" w:hAnsi="Arial" w:cs="Arial"/>
          <w:sz w:val="20"/>
          <w:szCs w:val="20"/>
          <w:lang w:val="en-GB"/>
        </w:rPr>
        <w:t xml:space="preserve">. Madrid. </w:t>
      </w:r>
    </w:p>
    <w:p w:rsidR="00534C0C" w:rsidRPr="00DA6962" w:rsidRDefault="00534C0C" w:rsidP="00DA6962">
      <w:pPr>
        <w:spacing w:after="0" w:line="240" w:lineRule="auto"/>
        <w:jc w:val="both"/>
        <w:rPr>
          <w:rFonts w:ascii="Arial" w:hAnsi="Arial" w:cs="Arial"/>
          <w:sz w:val="20"/>
          <w:szCs w:val="20"/>
          <w:lang w:val="en-GB"/>
        </w:rPr>
      </w:pPr>
    </w:p>
    <w:sectPr w:rsidR="00534C0C" w:rsidRPr="00DA6962" w:rsidSect="00DA6962">
      <w:headerReference w:type="default" r:id="rId8"/>
      <w:footerReference w:type="default" r:id="rId9"/>
      <w:pgSz w:w="11906" w:h="16838"/>
      <w:pgMar w:top="1134" w:right="1134" w:bottom="90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48C" w:rsidRDefault="00EF348C" w:rsidP="007A2EE2">
      <w:pPr>
        <w:spacing w:after="0" w:line="240" w:lineRule="auto"/>
      </w:pPr>
      <w:r>
        <w:separator/>
      </w:r>
    </w:p>
  </w:endnote>
  <w:endnote w:type="continuationSeparator" w:id="0">
    <w:p w:rsidR="00EF348C" w:rsidRDefault="00EF348C" w:rsidP="007A2E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szCs w:val="20"/>
      </w:rPr>
      <w:id w:val="520128351"/>
      <w:docPartObj>
        <w:docPartGallery w:val="Page Numbers (Bottom of Page)"/>
        <w:docPartUnique/>
      </w:docPartObj>
    </w:sdtPr>
    <w:sdtContent>
      <w:p w:rsidR="00EF348C" w:rsidRPr="00AC1CEF" w:rsidRDefault="00EF348C">
        <w:pPr>
          <w:pStyle w:val="Footer"/>
          <w:jc w:val="center"/>
          <w:rPr>
            <w:rFonts w:ascii="Arial" w:hAnsi="Arial" w:cs="Arial"/>
            <w:sz w:val="20"/>
            <w:szCs w:val="20"/>
          </w:rPr>
        </w:pPr>
        <w:r w:rsidRPr="00AC1CEF">
          <w:rPr>
            <w:rFonts w:ascii="Arial" w:hAnsi="Arial" w:cs="Arial"/>
            <w:sz w:val="20"/>
            <w:szCs w:val="20"/>
          </w:rPr>
          <w:fldChar w:fldCharType="begin"/>
        </w:r>
        <w:r w:rsidRPr="00AC1CEF">
          <w:rPr>
            <w:rFonts w:ascii="Arial" w:hAnsi="Arial" w:cs="Arial"/>
            <w:sz w:val="20"/>
            <w:szCs w:val="20"/>
          </w:rPr>
          <w:instrText>PAGE   \* MERGEFORMAT</w:instrText>
        </w:r>
        <w:r w:rsidRPr="00AC1CEF">
          <w:rPr>
            <w:rFonts w:ascii="Arial" w:hAnsi="Arial" w:cs="Arial"/>
            <w:sz w:val="20"/>
            <w:szCs w:val="20"/>
          </w:rPr>
          <w:fldChar w:fldCharType="separate"/>
        </w:r>
        <w:r w:rsidR="0075535B">
          <w:rPr>
            <w:rFonts w:ascii="Arial" w:hAnsi="Arial" w:cs="Arial"/>
            <w:noProof/>
            <w:sz w:val="20"/>
            <w:szCs w:val="20"/>
          </w:rPr>
          <w:t>1</w:t>
        </w:r>
        <w:r w:rsidRPr="00AC1CEF">
          <w:rPr>
            <w:rFonts w:ascii="Arial" w:hAnsi="Arial" w:cs="Arial"/>
            <w:sz w:val="20"/>
            <w:szCs w:val="20"/>
          </w:rPr>
          <w:fldChar w:fldCharType="end"/>
        </w:r>
      </w:p>
    </w:sdtContent>
  </w:sdt>
  <w:p w:rsidR="00EF348C" w:rsidRDefault="00EF34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48C" w:rsidRDefault="00EF348C" w:rsidP="007A2EE2">
      <w:pPr>
        <w:spacing w:after="0" w:line="240" w:lineRule="auto"/>
      </w:pPr>
      <w:r>
        <w:separator/>
      </w:r>
    </w:p>
  </w:footnote>
  <w:footnote w:type="continuationSeparator" w:id="0">
    <w:p w:rsidR="00EF348C" w:rsidRDefault="00EF348C" w:rsidP="007A2EE2">
      <w:pPr>
        <w:spacing w:after="0" w:line="240" w:lineRule="auto"/>
      </w:pPr>
      <w:r>
        <w:continuationSeparator/>
      </w:r>
    </w:p>
  </w:footnote>
  <w:footnote w:id="1">
    <w:p w:rsidR="00EF348C" w:rsidRPr="00DA6962" w:rsidRDefault="00EF348C">
      <w:pPr>
        <w:pStyle w:val="FootnoteText"/>
        <w:contextualSpacing/>
        <w:rPr>
          <w:rFonts w:ascii="Arial" w:hAnsi="Arial" w:cs="Arial"/>
          <w:sz w:val="18"/>
          <w:szCs w:val="18"/>
        </w:rPr>
      </w:pPr>
      <w:r w:rsidRPr="00DA6962">
        <w:rPr>
          <w:rStyle w:val="FootnoteReference"/>
          <w:rFonts w:ascii="Arial" w:hAnsi="Arial" w:cs="Arial"/>
          <w:sz w:val="18"/>
          <w:szCs w:val="18"/>
        </w:rPr>
        <w:footnoteRef/>
      </w:r>
      <w:r w:rsidRPr="00DA6962">
        <w:rPr>
          <w:rFonts w:ascii="Arial" w:hAnsi="Arial" w:cs="Arial"/>
          <w:sz w:val="18"/>
          <w:szCs w:val="18"/>
        </w:rPr>
        <w:t xml:space="preserve"> </w:t>
      </w:r>
      <w:proofErr w:type="gramStart"/>
      <w:r w:rsidRPr="00DA6962">
        <w:rPr>
          <w:rFonts w:ascii="Arial" w:hAnsi="Arial" w:cs="Arial"/>
          <w:sz w:val="18"/>
          <w:szCs w:val="18"/>
          <w:lang w:val="en-GB"/>
        </w:rPr>
        <w:t>Professor of Political Economics, Barcelona University.</w:t>
      </w:r>
      <w:proofErr w:type="gramEnd"/>
    </w:p>
  </w:footnote>
  <w:footnote w:id="2">
    <w:p w:rsidR="00EF348C" w:rsidRPr="00DA6962" w:rsidRDefault="00EF348C" w:rsidP="00883ADC">
      <w:pPr>
        <w:pStyle w:val="FootnoteText"/>
        <w:contextualSpacing/>
        <w:jc w:val="both"/>
        <w:rPr>
          <w:rFonts w:ascii="Arial" w:hAnsi="Arial" w:cs="Arial"/>
          <w:sz w:val="18"/>
          <w:szCs w:val="18"/>
          <w:lang w:val="en-GB"/>
        </w:rPr>
      </w:pPr>
      <w:r w:rsidRPr="00DA6962">
        <w:rPr>
          <w:rStyle w:val="FootnoteReference"/>
          <w:rFonts w:ascii="Arial" w:hAnsi="Arial" w:cs="Arial"/>
          <w:sz w:val="18"/>
          <w:szCs w:val="18"/>
          <w:lang w:val="en-GB"/>
        </w:rPr>
        <w:footnoteRef/>
      </w:r>
      <w:r w:rsidRPr="00DA6962">
        <w:rPr>
          <w:rFonts w:ascii="Arial" w:hAnsi="Arial" w:cs="Arial"/>
          <w:sz w:val="18"/>
          <w:szCs w:val="18"/>
          <w:lang w:val="en-GB"/>
        </w:rPr>
        <w:t xml:space="preserve"> In fact, taxes are regulated and collected by provincial counties, rather than by </w:t>
      </w:r>
      <w:proofErr w:type="spellStart"/>
      <w:r w:rsidRPr="00DA6962">
        <w:rPr>
          <w:rFonts w:ascii="Arial" w:hAnsi="Arial" w:cs="Arial"/>
          <w:sz w:val="18"/>
          <w:szCs w:val="18"/>
          <w:lang w:val="en-GB"/>
        </w:rPr>
        <w:t>ACs</w:t>
      </w:r>
      <w:proofErr w:type="spellEnd"/>
      <w:r w:rsidRPr="00DA6962">
        <w:rPr>
          <w:rFonts w:ascii="Arial" w:hAnsi="Arial" w:cs="Arial"/>
          <w:sz w:val="18"/>
          <w:szCs w:val="18"/>
          <w:lang w:val="en-GB"/>
        </w:rPr>
        <w:t>, something relevant in the Basque Country</w:t>
      </w:r>
      <w:r>
        <w:rPr>
          <w:rFonts w:ascii="Arial" w:hAnsi="Arial" w:cs="Arial"/>
          <w:sz w:val="18"/>
          <w:szCs w:val="18"/>
          <w:lang w:val="en-GB"/>
        </w:rPr>
        <w:t>,</w:t>
      </w:r>
      <w:r w:rsidRPr="00DA6962">
        <w:rPr>
          <w:rFonts w:ascii="Arial" w:hAnsi="Arial" w:cs="Arial"/>
          <w:sz w:val="18"/>
          <w:szCs w:val="18"/>
          <w:lang w:val="en-GB"/>
        </w:rPr>
        <w:t xml:space="preserve"> which consists of three different provinces, </w:t>
      </w:r>
      <w:proofErr w:type="spellStart"/>
      <w:r w:rsidRPr="00DA6962">
        <w:rPr>
          <w:rFonts w:ascii="Arial" w:hAnsi="Arial" w:cs="Arial"/>
          <w:sz w:val="18"/>
          <w:szCs w:val="18"/>
          <w:lang w:val="en-GB"/>
        </w:rPr>
        <w:t>Álava</w:t>
      </w:r>
      <w:proofErr w:type="spellEnd"/>
      <w:r w:rsidRPr="00DA6962">
        <w:rPr>
          <w:rFonts w:ascii="Arial" w:hAnsi="Arial" w:cs="Arial"/>
          <w:sz w:val="18"/>
          <w:szCs w:val="18"/>
          <w:lang w:val="en-GB"/>
        </w:rPr>
        <w:t xml:space="preserve">, </w:t>
      </w:r>
      <w:proofErr w:type="spellStart"/>
      <w:r w:rsidRPr="00DA6962">
        <w:rPr>
          <w:rFonts w:ascii="Arial" w:hAnsi="Arial" w:cs="Arial"/>
          <w:sz w:val="18"/>
          <w:szCs w:val="18"/>
          <w:lang w:val="en-GB"/>
        </w:rPr>
        <w:t>Guipúzcoa</w:t>
      </w:r>
      <w:proofErr w:type="spellEnd"/>
      <w:r w:rsidRPr="00DA6962">
        <w:rPr>
          <w:rFonts w:ascii="Arial" w:hAnsi="Arial" w:cs="Arial"/>
          <w:sz w:val="18"/>
          <w:szCs w:val="18"/>
          <w:lang w:val="en-GB"/>
        </w:rPr>
        <w:t xml:space="preserve"> and </w:t>
      </w:r>
      <w:proofErr w:type="spellStart"/>
      <w:r w:rsidRPr="00DA6962">
        <w:rPr>
          <w:rFonts w:ascii="Arial" w:hAnsi="Arial" w:cs="Arial"/>
          <w:sz w:val="18"/>
          <w:szCs w:val="18"/>
          <w:lang w:val="en-GB"/>
        </w:rPr>
        <w:t>Vizcaya</w:t>
      </w:r>
      <w:proofErr w:type="spellEnd"/>
      <w:r w:rsidRPr="00DA6962">
        <w:rPr>
          <w:rFonts w:ascii="Arial" w:hAnsi="Arial" w:cs="Arial"/>
          <w:sz w:val="18"/>
          <w:szCs w:val="18"/>
          <w:lang w:val="en-GB"/>
        </w:rPr>
        <w:t xml:space="preserve">. Consequently, Basque provincial counties must contribute with the financing of regional government’s expenditures according to a distribution formulae mainly based on the income of each province. This situation does not take place in Navarre because there is only one sole province and, therefore, </w:t>
      </w:r>
      <w:proofErr w:type="gramStart"/>
      <w:r w:rsidRPr="00DA6962">
        <w:rPr>
          <w:rFonts w:ascii="Arial" w:hAnsi="Arial" w:cs="Arial"/>
          <w:sz w:val="18"/>
          <w:szCs w:val="18"/>
          <w:lang w:val="en-GB"/>
        </w:rPr>
        <w:t>provincial county</w:t>
      </w:r>
      <w:proofErr w:type="gramEnd"/>
      <w:r w:rsidRPr="00DA6962">
        <w:rPr>
          <w:rFonts w:ascii="Arial" w:hAnsi="Arial" w:cs="Arial"/>
          <w:sz w:val="18"/>
          <w:szCs w:val="18"/>
          <w:lang w:val="en-GB"/>
        </w:rPr>
        <w:t xml:space="preserve"> and AC are the same.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48C" w:rsidRPr="00E33E7B" w:rsidRDefault="00EF348C" w:rsidP="00DA6962">
    <w:pPr>
      <w:spacing w:line="240" w:lineRule="auto"/>
      <w:contextualSpacing/>
      <w:jc w:val="center"/>
      <w:rPr>
        <w:rFonts w:ascii="Arial" w:hAnsi="Arial" w:cs="Arial"/>
        <w:sz w:val="20"/>
        <w:szCs w:val="20"/>
        <w:lang w:val="en-GB"/>
      </w:rPr>
    </w:pPr>
    <w:r w:rsidRPr="00E33E7B">
      <w:rPr>
        <w:rFonts w:ascii="Arial" w:hAnsi="Arial" w:cs="Arial"/>
        <w:sz w:val="20"/>
        <w:szCs w:val="20"/>
        <w:lang w:val="en-GB"/>
      </w:rPr>
      <w:t>International Research Seminar</w:t>
    </w:r>
  </w:p>
  <w:p w:rsidR="00EF348C" w:rsidRPr="00E33E7B" w:rsidRDefault="00EF348C" w:rsidP="00DA6962">
    <w:pPr>
      <w:spacing w:line="240" w:lineRule="auto"/>
      <w:contextualSpacing/>
      <w:jc w:val="center"/>
      <w:rPr>
        <w:rFonts w:ascii="Arial" w:hAnsi="Arial" w:cs="Arial"/>
        <w:b/>
        <w:sz w:val="20"/>
        <w:szCs w:val="20"/>
        <w:lang w:val="en-GB"/>
      </w:rPr>
    </w:pPr>
    <w:r w:rsidRPr="00E33E7B">
      <w:rPr>
        <w:rFonts w:ascii="Arial" w:hAnsi="Arial" w:cs="Arial"/>
        <w:sz w:val="20"/>
        <w:szCs w:val="20"/>
        <w:lang w:val="en-GB"/>
      </w:rPr>
      <w:t>“</w:t>
    </w:r>
    <w:r w:rsidRPr="00E33E7B">
      <w:rPr>
        <w:rFonts w:ascii="Arial" w:hAnsi="Arial" w:cs="Arial"/>
        <w:b/>
        <w:sz w:val="20"/>
        <w:szCs w:val="20"/>
        <w:lang w:val="en-GB"/>
      </w:rPr>
      <w:t>AUTONOMY STATUTES AND REGIONALIZATION: SOLIDARITY AND EQUALIZATION BETWEEN REGIONS”</w:t>
    </w:r>
  </w:p>
  <w:p w:rsidR="00EF348C" w:rsidRPr="00E33E7B" w:rsidRDefault="00EF348C" w:rsidP="00DA6962">
    <w:pPr>
      <w:spacing w:line="240" w:lineRule="auto"/>
      <w:contextualSpacing/>
      <w:jc w:val="center"/>
      <w:rPr>
        <w:rFonts w:ascii="Arial" w:hAnsi="Arial" w:cs="Arial"/>
        <w:sz w:val="20"/>
        <w:szCs w:val="20"/>
        <w:lang w:val="en-GB"/>
      </w:rPr>
    </w:pPr>
    <w:r>
      <w:rPr>
        <w:rFonts w:ascii="Arial" w:hAnsi="Arial" w:cs="Arial"/>
        <w:sz w:val="20"/>
        <w:szCs w:val="20"/>
        <w:lang w:val="en-GB"/>
      </w:rPr>
      <w:t>(</w:t>
    </w:r>
    <w:r w:rsidRPr="00E33E7B">
      <w:rPr>
        <w:rFonts w:ascii="Arial" w:hAnsi="Arial" w:cs="Arial"/>
        <w:sz w:val="20"/>
        <w:szCs w:val="20"/>
        <w:lang w:val="en-GB"/>
      </w:rPr>
      <w:t>Geneva</w:t>
    </w:r>
    <w:r>
      <w:rPr>
        <w:rFonts w:ascii="Arial" w:hAnsi="Arial" w:cs="Arial"/>
        <w:sz w:val="20"/>
        <w:szCs w:val="20"/>
        <w:lang w:val="en-GB"/>
      </w:rPr>
      <w:t xml:space="preserve">, </w:t>
    </w:r>
    <w:r w:rsidRPr="00E33E7B">
      <w:rPr>
        <w:rFonts w:ascii="Arial" w:hAnsi="Arial" w:cs="Arial"/>
        <w:sz w:val="20"/>
        <w:szCs w:val="20"/>
        <w:lang w:val="en-GB"/>
      </w:rPr>
      <w:t>1</w:t>
    </w:r>
    <w:r w:rsidRPr="00E33E7B">
      <w:rPr>
        <w:rFonts w:ascii="Arial" w:hAnsi="Arial" w:cs="Arial"/>
        <w:sz w:val="20"/>
        <w:szCs w:val="20"/>
        <w:vertAlign w:val="superscript"/>
        <w:lang w:val="en-GB"/>
      </w:rPr>
      <w:t>st</w:t>
    </w:r>
    <w:r w:rsidRPr="00E33E7B">
      <w:rPr>
        <w:rFonts w:ascii="Arial" w:hAnsi="Arial" w:cs="Arial"/>
        <w:sz w:val="20"/>
        <w:szCs w:val="20"/>
        <w:lang w:val="en-GB"/>
      </w:rPr>
      <w:t xml:space="preserve"> July 2013</w:t>
    </w:r>
    <w:r>
      <w:rPr>
        <w:rFonts w:ascii="Arial" w:hAnsi="Arial" w:cs="Arial"/>
        <w:sz w:val="20"/>
        <w:szCs w:val="20"/>
        <w:lang w:val="en-GB"/>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87868"/>
    <w:multiLevelType w:val="hybridMultilevel"/>
    <w:tmpl w:val="74CC5230"/>
    <w:lvl w:ilvl="0" w:tplc="B53424A0">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06D6700"/>
    <w:multiLevelType w:val="multilevel"/>
    <w:tmpl w:val="681A457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19144334"/>
    <w:multiLevelType w:val="hybridMultilevel"/>
    <w:tmpl w:val="BFC45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A16A21"/>
    <w:multiLevelType w:val="hybridMultilevel"/>
    <w:tmpl w:val="83D857EE"/>
    <w:lvl w:ilvl="0" w:tplc="B53424A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D03DA3"/>
    <w:multiLevelType w:val="hybridMultilevel"/>
    <w:tmpl w:val="D3FE70CE"/>
    <w:lvl w:ilvl="0" w:tplc="0A140856">
      <w:start w:val="1"/>
      <w:numFmt w:val="bullet"/>
      <w:lvlText w:val="–"/>
      <w:lvlJc w:val="left"/>
      <w:pPr>
        <w:tabs>
          <w:tab w:val="num" w:pos="720"/>
        </w:tabs>
        <w:ind w:left="720" w:hanging="360"/>
      </w:pPr>
      <w:rPr>
        <w:rFonts w:ascii="Times New Roman" w:hAnsi="Times New Roman" w:hint="default"/>
      </w:rPr>
    </w:lvl>
    <w:lvl w:ilvl="1" w:tplc="074EA660">
      <w:start w:val="1"/>
      <w:numFmt w:val="bullet"/>
      <w:lvlText w:val="–"/>
      <w:lvlJc w:val="left"/>
      <w:pPr>
        <w:tabs>
          <w:tab w:val="num" w:pos="1440"/>
        </w:tabs>
        <w:ind w:left="1440" w:hanging="360"/>
      </w:pPr>
      <w:rPr>
        <w:rFonts w:ascii="Times New Roman" w:hAnsi="Times New Roman" w:hint="default"/>
      </w:rPr>
    </w:lvl>
    <w:lvl w:ilvl="2" w:tplc="2926E262" w:tentative="1">
      <w:start w:val="1"/>
      <w:numFmt w:val="bullet"/>
      <w:lvlText w:val="–"/>
      <w:lvlJc w:val="left"/>
      <w:pPr>
        <w:tabs>
          <w:tab w:val="num" w:pos="2160"/>
        </w:tabs>
        <w:ind w:left="2160" w:hanging="360"/>
      </w:pPr>
      <w:rPr>
        <w:rFonts w:ascii="Times New Roman" w:hAnsi="Times New Roman" w:hint="default"/>
      </w:rPr>
    </w:lvl>
    <w:lvl w:ilvl="3" w:tplc="521EDEB6" w:tentative="1">
      <w:start w:val="1"/>
      <w:numFmt w:val="bullet"/>
      <w:lvlText w:val="–"/>
      <w:lvlJc w:val="left"/>
      <w:pPr>
        <w:tabs>
          <w:tab w:val="num" w:pos="2880"/>
        </w:tabs>
        <w:ind w:left="2880" w:hanging="360"/>
      </w:pPr>
      <w:rPr>
        <w:rFonts w:ascii="Times New Roman" w:hAnsi="Times New Roman" w:hint="default"/>
      </w:rPr>
    </w:lvl>
    <w:lvl w:ilvl="4" w:tplc="AD1473AA" w:tentative="1">
      <w:start w:val="1"/>
      <w:numFmt w:val="bullet"/>
      <w:lvlText w:val="–"/>
      <w:lvlJc w:val="left"/>
      <w:pPr>
        <w:tabs>
          <w:tab w:val="num" w:pos="3600"/>
        </w:tabs>
        <w:ind w:left="3600" w:hanging="360"/>
      </w:pPr>
      <w:rPr>
        <w:rFonts w:ascii="Times New Roman" w:hAnsi="Times New Roman" w:hint="default"/>
      </w:rPr>
    </w:lvl>
    <w:lvl w:ilvl="5" w:tplc="CCB245DA" w:tentative="1">
      <w:start w:val="1"/>
      <w:numFmt w:val="bullet"/>
      <w:lvlText w:val="–"/>
      <w:lvlJc w:val="left"/>
      <w:pPr>
        <w:tabs>
          <w:tab w:val="num" w:pos="4320"/>
        </w:tabs>
        <w:ind w:left="4320" w:hanging="360"/>
      </w:pPr>
      <w:rPr>
        <w:rFonts w:ascii="Times New Roman" w:hAnsi="Times New Roman" w:hint="default"/>
      </w:rPr>
    </w:lvl>
    <w:lvl w:ilvl="6" w:tplc="227C6DD4" w:tentative="1">
      <w:start w:val="1"/>
      <w:numFmt w:val="bullet"/>
      <w:lvlText w:val="–"/>
      <w:lvlJc w:val="left"/>
      <w:pPr>
        <w:tabs>
          <w:tab w:val="num" w:pos="5040"/>
        </w:tabs>
        <w:ind w:left="5040" w:hanging="360"/>
      </w:pPr>
      <w:rPr>
        <w:rFonts w:ascii="Times New Roman" w:hAnsi="Times New Roman" w:hint="default"/>
      </w:rPr>
    </w:lvl>
    <w:lvl w:ilvl="7" w:tplc="DA36D438" w:tentative="1">
      <w:start w:val="1"/>
      <w:numFmt w:val="bullet"/>
      <w:lvlText w:val="–"/>
      <w:lvlJc w:val="left"/>
      <w:pPr>
        <w:tabs>
          <w:tab w:val="num" w:pos="5760"/>
        </w:tabs>
        <w:ind w:left="5760" w:hanging="360"/>
      </w:pPr>
      <w:rPr>
        <w:rFonts w:ascii="Times New Roman" w:hAnsi="Times New Roman" w:hint="default"/>
      </w:rPr>
    </w:lvl>
    <w:lvl w:ilvl="8" w:tplc="21648024" w:tentative="1">
      <w:start w:val="1"/>
      <w:numFmt w:val="bullet"/>
      <w:lvlText w:val="–"/>
      <w:lvlJc w:val="left"/>
      <w:pPr>
        <w:tabs>
          <w:tab w:val="num" w:pos="6480"/>
        </w:tabs>
        <w:ind w:left="6480" w:hanging="360"/>
      </w:pPr>
      <w:rPr>
        <w:rFonts w:ascii="Times New Roman" w:hAnsi="Times New Roman" w:hint="default"/>
      </w:rPr>
    </w:lvl>
  </w:abstractNum>
  <w:abstractNum w:abstractNumId="5">
    <w:nsid w:val="40287239"/>
    <w:multiLevelType w:val="multilevel"/>
    <w:tmpl w:val="681A457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5DF5492D"/>
    <w:multiLevelType w:val="hybridMultilevel"/>
    <w:tmpl w:val="27BEF74C"/>
    <w:lvl w:ilvl="0" w:tplc="B53424A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B8320E"/>
    <w:multiLevelType w:val="hybridMultilevel"/>
    <w:tmpl w:val="EB8AB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9F6A4D"/>
    <w:multiLevelType w:val="hybridMultilevel"/>
    <w:tmpl w:val="D9D685AE"/>
    <w:lvl w:ilvl="0" w:tplc="BCD031E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F13015"/>
    <w:multiLevelType w:val="hybridMultilevel"/>
    <w:tmpl w:val="F05EF04C"/>
    <w:lvl w:ilvl="0" w:tplc="72F0E684">
      <w:start w:val="1"/>
      <w:numFmt w:val="decimal"/>
      <w:pStyle w:val="Title"/>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77CF234A"/>
    <w:multiLevelType w:val="multilevel"/>
    <w:tmpl w:val="681A457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9"/>
  </w:num>
  <w:num w:numId="2">
    <w:abstractNumId w:val="9"/>
    <w:lvlOverride w:ilvl="0">
      <w:startOverride w:val="1"/>
    </w:lvlOverride>
  </w:num>
  <w:num w:numId="3">
    <w:abstractNumId w:val="9"/>
    <w:lvlOverride w:ilvl="0">
      <w:startOverride w:val="1"/>
    </w:lvlOverride>
  </w:num>
  <w:num w:numId="4">
    <w:abstractNumId w:val="5"/>
  </w:num>
  <w:num w:numId="5">
    <w:abstractNumId w:val="1"/>
  </w:num>
  <w:num w:numId="6">
    <w:abstractNumId w:val="0"/>
  </w:num>
  <w:num w:numId="7">
    <w:abstractNumId w:val="10"/>
  </w:num>
  <w:num w:numId="8">
    <w:abstractNumId w:val="4"/>
  </w:num>
  <w:num w:numId="9">
    <w:abstractNumId w:val="2"/>
  </w:num>
  <w:num w:numId="10">
    <w:abstractNumId w:val="6"/>
  </w:num>
  <w:num w:numId="11">
    <w:abstractNumId w:val="7"/>
  </w:num>
  <w:num w:numId="12">
    <w:abstractNumId w:val="3"/>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0769E"/>
    <w:rsid w:val="00003832"/>
    <w:rsid w:val="00012A38"/>
    <w:rsid w:val="000236E9"/>
    <w:rsid w:val="00026247"/>
    <w:rsid w:val="0005150A"/>
    <w:rsid w:val="00054C2D"/>
    <w:rsid w:val="000627DA"/>
    <w:rsid w:val="00077A2C"/>
    <w:rsid w:val="000A051D"/>
    <w:rsid w:val="000A4C23"/>
    <w:rsid w:val="000A73D6"/>
    <w:rsid w:val="000B117C"/>
    <w:rsid w:val="000B5DC6"/>
    <w:rsid w:val="000B6C03"/>
    <w:rsid w:val="000C33BB"/>
    <w:rsid w:val="000D11AB"/>
    <w:rsid w:val="000D14BA"/>
    <w:rsid w:val="000D3FE5"/>
    <w:rsid w:val="000D73C0"/>
    <w:rsid w:val="000E1010"/>
    <w:rsid w:val="00101CED"/>
    <w:rsid w:val="00102392"/>
    <w:rsid w:val="0010624A"/>
    <w:rsid w:val="00151153"/>
    <w:rsid w:val="00151758"/>
    <w:rsid w:val="00153DA5"/>
    <w:rsid w:val="00166C91"/>
    <w:rsid w:val="0018443B"/>
    <w:rsid w:val="00195CBB"/>
    <w:rsid w:val="001E04D7"/>
    <w:rsid w:val="001E0952"/>
    <w:rsid w:val="001F3DB7"/>
    <w:rsid w:val="00200F79"/>
    <w:rsid w:val="002119B3"/>
    <w:rsid w:val="002170F4"/>
    <w:rsid w:val="00235CDC"/>
    <w:rsid w:val="0023781C"/>
    <w:rsid w:val="0024736B"/>
    <w:rsid w:val="00277998"/>
    <w:rsid w:val="00280946"/>
    <w:rsid w:val="0028224D"/>
    <w:rsid w:val="00293D98"/>
    <w:rsid w:val="002A04E4"/>
    <w:rsid w:val="002A1C1A"/>
    <w:rsid w:val="002B0A41"/>
    <w:rsid w:val="002B1CFF"/>
    <w:rsid w:val="002D3114"/>
    <w:rsid w:val="002D3808"/>
    <w:rsid w:val="002D3B78"/>
    <w:rsid w:val="002E553D"/>
    <w:rsid w:val="00303518"/>
    <w:rsid w:val="00310D7E"/>
    <w:rsid w:val="00314B2D"/>
    <w:rsid w:val="003159B9"/>
    <w:rsid w:val="00330C23"/>
    <w:rsid w:val="00332739"/>
    <w:rsid w:val="00352952"/>
    <w:rsid w:val="003602CB"/>
    <w:rsid w:val="0037354E"/>
    <w:rsid w:val="0038267E"/>
    <w:rsid w:val="00387B40"/>
    <w:rsid w:val="003A348F"/>
    <w:rsid w:val="003A3616"/>
    <w:rsid w:val="003C344B"/>
    <w:rsid w:val="003C49F6"/>
    <w:rsid w:val="003D06AE"/>
    <w:rsid w:val="00405A39"/>
    <w:rsid w:val="0040769E"/>
    <w:rsid w:val="00414E6B"/>
    <w:rsid w:val="004213D8"/>
    <w:rsid w:val="00423ED6"/>
    <w:rsid w:val="004311A9"/>
    <w:rsid w:val="00446305"/>
    <w:rsid w:val="0047335E"/>
    <w:rsid w:val="0049329C"/>
    <w:rsid w:val="004A6778"/>
    <w:rsid w:val="004C213B"/>
    <w:rsid w:val="004D1893"/>
    <w:rsid w:val="004D54ED"/>
    <w:rsid w:val="004E4C52"/>
    <w:rsid w:val="004F10A9"/>
    <w:rsid w:val="004F39A1"/>
    <w:rsid w:val="004F794F"/>
    <w:rsid w:val="00506FDA"/>
    <w:rsid w:val="005251F2"/>
    <w:rsid w:val="005264F5"/>
    <w:rsid w:val="00533F6C"/>
    <w:rsid w:val="00534C0C"/>
    <w:rsid w:val="005362FB"/>
    <w:rsid w:val="00540544"/>
    <w:rsid w:val="00545A69"/>
    <w:rsid w:val="0054785B"/>
    <w:rsid w:val="0055440C"/>
    <w:rsid w:val="005564B8"/>
    <w:rsid w:val="0057521C"/>
    <w:rsid w:val="00576006"/>
    <w:rsid w:val="00596CCF"/>
    <w:rsid w:val="005B6A2A"/>
    <w:rsid w:val="005D7732"/>
    <w:rsid w:val="005F287B"/>
    <w:rsid w:val="00602E00"/>
    <w:rsid w:val="00634736"/>
    <w:rsid w:val="00645A1B"/>
    <w:rsid w:val="00645B54"/>
    <w:rsid w:val="00650203"/>
    <w:rsid w:val="006509DB"/>
    <w:rsid w:val="00660243"/>
    <w:rsid w:val="0066280F"/>
    <w:rsid w:val="0066439F"/>
    <w:rsid w:val="00664FE6"/>
    <w:rsid w:val="00686F4F"/>
    <w:rsid w:val="006A0088"/>
    <w:rsid w:val="006A044A"/>
    <w:rsid w:val="006A6D8A"/>
    <w:rsid w:val="006D6975"/>
    <w:rsid w:val="006E2B92"/>
    <w:rsid w:val="00704DC8"/>
    <w:rsid w:val="00711623"/>
    <w:rsid w:val="0074549F"/>
    <w:rsid w:val="00746267"/>
    <w:rsid w:val="00753A88"/>
    <w:rsid w:val="00754CB1"/>
    <w:rsid w:val="0075535B"/>
    <w:rsid w:val="007564BA"/>
    <w:rsid w:val="007710F8"/>
    <w:rsid w:val="007947A9"/>
    <w:rsid w:val="007A10B7"/>
    <w:rsid w:val="007A2EE2"/>
    <w:rsid w:val="007B47A6"/>
    <w:rsid w:val="007C33BB"/>
    <w:rsid w:val="007F1EF3"/>
    <w:rsid w:val="00804BC6"/>
    <w:rsid w:val="008210A8"/>
    <w:rsid w:val="00825A7E"/>
    <w:rsid w:val="00827919"/>
    <w:rsid w:val="0084406B"/>
    <w:rsid w:val="00851F93"/>
    <w:rsid w:val="00861705"/>
    <w:rsid w:val="00864ED2"/>
    <w:rsid w:val="00883ADC"/>
    <w:rsid w:val="008904E0"/>
    <w:rsid w:val="008910EA"/>
    <w:rsid w:val="008B29AD"/>
    <w:rsid w:val="008B3DB1"/>
    <w:rsid w:val="008F3F55"/>
    <w:rsid w:val="00906249"/>
    <w:rsid w:val="009131CB"/>
    <w:rsid w:val="0095601F"/>
    <w:rsid w:val="00961CE7"/>
    <w:rsid w:val="00961E5D"/>
    <w:rsid w:val="009A0D50"/>
    <w:rsid w:val="009A165B"/>
    <w:rsid w:val="009A736C"/>
    <w:rsid w:val="009C200A"/>
    <w:rsid w:val="009D3CA6"/>
    <w:rsid w:val="009D6DB3"/>
    <w:rsid w:val="009E5E1F"/>
    <w:rsid w:val="00A035C0"/>
    <w:rsid w:val="00A241BE"/>
    <w:rsid w:val="00A31719"/>
    <w:rsid w:val="00A35419"/>
    <w:rsid w:val="00A56E0C"/>
    <w:rsid w:val="00A57889"/>
    <w:rsid w:val="00A7447D"/>
    <w:rsid w:val="00AB5005"/>
    <w:rsid w:val="00AB6CDE"/>
    <w:rsid w:val="00AC0944"/>
    <w:rsid w:val="00AC1CEF"/>
    <w:rsid w:val="00AD26AB"/>
    <w:rsid w:val="00AD6FD9"/>
    <w:rsid w:val="00AF0E05"/>
    <w:rsid w:val="00B05BC5"/>
    <w:rsid w:val="00B24108"/>
    <w:rsid w:val="00B24221"/>
    <w:rsid w:val="00B25B33"/>
    <w:rsid w:val="00B361AD"/>
    <w:rsid w:val="00B67ADC"/>
    <w:rsid w:val="00B67EB9"/>
    <w:rsid w:val="00B70A05"/>
    <w:rsid w:val="00B8589E"/>
    <w:rsid w:val="00B956D5"/>
    <w:rsid w:val="00BA2EB7"/>
    <w:rsid w:val="00BD1686"/>
    <w:rsid w:val="00BE17DF"/>
    <w:rsid w:val="00BE6692"/>
    <w:rsid w:val="00BE6DBD"/>
    <w:rsid w:val="00C14566"/>
    <w:rsid w:val="00C1514B"/>
    <w:rsid w:val="00C1675A"/>
    <w:rsid w:val="00C16990"/>
    <w:rsid w:val="00C21A5B"/>
    <w:rsid w:val="00C55706"/>
    <w:rsid w:val="00C74697"/>
    <w:rsid w:val="00C94900"/>
    <w:rsid w:val="00CA49D7"/>
    <w:rsid w:val="00CA5DA5"/>
    <w:rsid w:val="00CC5862"/>
    <w:rsid w:val="00CD02C5"/>
    <w:rsid w:val="00CD2D0D"/>
    <w:rsid w:val="00CD5B55"/>
    <w:rsid w:val="00CE34A3"/>
    <w:rsid w:val="00CE7E33"/>
    <w:rsid w:val="00D10F32"/>
    <w:rsid w:val="00D16114"/>
    <w:rsid w:val="00D16E7D"/>
    <w:rsid w:val="00D44D67"/>
    <w:rsid w:val="00D46E53"/>
    <w:rsid w:val="00D525BE"/>
    <w:rsid w:val="00D55E10"/>
    <w:rsid w:val="00D64BC9"/>
    <w:rsid w:val="00D84187"/>
    <w:rsid w:val="00D87630"/>
    <w:rsid w:val="00DA193A"/>
    <w:rsid w:val="00DA6962"/>
    <w:rsid w:val="00DB2CC6"/>
    <w:rsid w:val="00DE1567"/>
    <w:rsid w:val="00DE3FFA"/>
    <w:rsid w:val="00DF320B"/>
    <w:rsid w:val="00E00DEF"/>
    <w:rsid w:val="00E138D9"/>
    <w:rsid w:val="00E15273"/>
    <w:rsid w:val="00E22B64"/>
    <w:rsid w:val="00E234C7"/>
    <w:rsid w:val="00E25B42"/>
    <w:rsid w:val="00E2737E"/>
    <w:rsid w:val="00E31AE6"/>
    <w:rsid w:val="00E4378F"/>
    <w:rsid w:val="00E513C3"/>
    <w:rsid w:val="00E57797"/>
    <w:rsid w:val="00E64CBA"/>
    <w:rsid w:val="00E65F64"/>
    <w:rsid w:val="00E841A6"/>
    <w:rsid w:val="00E93853"/>
    <w:rsid w:val="00E9695F"/>
    <w:rsid w:val="00EB08C2"/>
    <w:rsid w:val="00ED2E45"/>
    <w:rsid w:val="00EF13A4"/>
    <w:rsid w:val="00EF348C"/>
    <w:rsid w:val="00F01BCB"/>
    <w:rsid w:val="00F11FAA"/>
    <w:rsid w:val="00F31C3B"/>
    <w:rsid w:val="00F61A8E"/>
    <w:rsid w:val="00F62A83"/>
    <w:rsid w:val="00F70573"/>
    <w:rsid w:val="00F80A4F"/>
    <w:rsid w:val="00F80BEB"/>
    <w:rsid w:val="00F908ED"/>
    <w:rsid w:val="00F975DC"/>
    <w:rsid w:val="00FA2045"/>
    <w:rsid w:val="00FC562E"/>
    <w:rsid w:val="00FE1545"/>
    <w:rsid w:val="00FE242E"/>
    <w:rsid w:val="00FE4E64"/>
    <w:rsid w:val="00FE516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E6B"/>
  </w:style>
  <w:style w:type="paragraph" w:styleId="Heading1">
    <w:name w:val="heading 1"/>
    <w:basedOn w:val="Normal"/>
    <w:next w:val="Normal"/>
    <w:link w:val="Heading1Char"/>
    <w:uiPriority w:val="9"/>
    <w:qFormat/>
    <w:rsid w:val="00F11F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311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34C0C"/>
    <w:pPr>
      <w:numPr>
        <w:numId w:val="1"/>
      </w:numPr>
      <w:spacing w:after="0" w:line="360" w:lineRule="auto"/>
      <w:contextualSpacing/>
    </w:pPr>
    <w:rPr>
      <w:rFonts w:ascii="Arial" w:eastAsiaTheme="majorEastAsia" w:hAnsi="Arial" w:cstheme="majorBidi"/>
      <w:b/>
      <w:spacing w:val="5"/>
      <w:kern w:val="28"/>
      <w:sz w:val="24"/>
      <w:szCs w:val="52"/>
    </w:rPr>
  </w:style>
  <w:style w:type="character" w:customStyle="1" w:styleId="TitleChar">
    <w:name w:val="Title Char"/>
    <w:basedOn w:val="DefaultParagraphFont"/>
    <w:link w:val="Title"/>
    <w:uiPriority w:val="10"/>
    <w:rsid w:val="00534C0C"/>
    <w:rPr>
      <w:rFonts w:ascii="Arial" w:eastAsiaTheme="majorEastAsia" w:hAnsi="Arial" w:cstheme="majorBidi"/>
      <w:b/>
      <w:spacing w:val="5"/>
      <w:kern w:val="28"/>
      <w:sz w:val="24"/>
      <w:szCs w:val="52"/>
    </w:rPr>
  </w:style>
  <w:style w:type="paragraph" w:styleId="Header">
    <w:name w:val="header"/>
    <w:basedOn w:val="Normal"/>
    <w:link w:val="HeaderChar"/>
    <w:uiPriority w:val="99"/>
    <w:unhideWhenUsed/>
    <w:rsid w:val="007A2EE2"/>
    <w:pPr>
      <w:tabs>
        <w:tab w:val="center" w:pos="4252"/>
        <w:tab w:val="right" w:pos="8504"/>
      </w:tabs>
      <w:spacing w:after="0" w:line="240" w:lineRule="auto"/>
    </w:pPr>
  </w:style>
  <w:style w:type="character" w:customStyle="1" w:styleId="HeaderChar">
    <w:name w:val="Header Char"/>
    <w:basedOn w:val="DefaultParagraphFont"/>
    <w:link w:val="Header"/>
    <w:uiPriority w:val="99"/>
    <w:rsid w:val="007A2EE2"/>
  </w:style>
  <w:style w:type="paragraph" w:styleId="Footer">
    <w:name w:val="footer"/>
    <w:basedOn w:val="Normal"/>
    <w:link w:val="FooterChar"/>
    <w:uiPriority w:val="99"/>
    <w:unhideWhenUsed/>
    <w:rsid w:val="007A2EE2"/>
    <w:pPr>
      <w:tabs>
        <w:tab w:val="center" w:pos="4252"/>
        <w:tab w:val="right" w:pos="8504"/>
      </w:tabs>
      <w:spacing w:after="0" w:line="240" w:lineRule="auto"/>
    </w:pPr>
  </w:style>
  <w:style w:type="character" w:customStyle="1" w:styleId="FooterChar">
    <w:name w:val="Footer Char"/>
    <w:basedOn w:val="DefaultParagraphFont"/>
    <w:link w:val="Footer"/>
    <w:uiPriority w:val="99"/>
    <w:rsid w:val="007A2EE2"/>
  </w:style>
  <w:style w:type="paragraph" w:styleId="FootnoteText">
    <w:name w:val="footnote text"/>
    <w:basedOn w:val="Normal"/>
    <w:link w:val="FootnoteTextChar"/>
    <w:uiPriority w:val="99"/>
    <w:semiHidden/>
    <w:unhideWhenUsed/>
    <w:rsid w:val="004311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11A9"/>
    <w:rPr>
      <w:sz w:val="20"/>
      <w:szCs w:val="20"/>
    </w:rPr>
  </w:style>
  <w:style w:type="character" w:styleId="FootnoteReference">
    <w:name w:val="footnote reference"/>
    <w:basedOn w:val="DefaultParagraphFont"/>
    <w:uiPriority w:val="99"/>
    <w:semiHidden/>
    <w:unhideWhenUsed/>
    <w:rsid w:val="004311A9"/>
    <w:rPr>
      <w:vertAlign w:val="superscript"/>
    </w:rPr>
  </w:style>
  <w:style w:type="character" w:customStyle="1" w:styleId="Heading2Char">
    <w:name w:val="Heading 2 Char"/>
    <w:basedOn w:val="DefaultParagraphFont"/>
    <w:link w:val="Heading2"/>
    <w:uiPriority w:val="9"/>
    <w:rsid w:val="004311A9"/>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F11FA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F11FAA"/>
    <w:pPr>
      <w:outlineLvl w:val="9"/>
    </w:pPr>
    <w:rPr>
      <w:lang w:eastAsia="es-ES"/>
    </w:rPr>
  </w:style>
  <w:style w:type="paragraph" w:styleId="BalloonText">
    <w:name w:val="Balloon Text"/>
    <w:basedOn w:val="Normal"/>
    <w:link w:val="BalloonTextChar"/>
    <w:uiPriority w:val="99"/>
    <w:semiHidden/>
    <w:unhideWhenUsed/>
    <w:rsid w:val="00F11F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FAA"/>
    <w:rPr>
      <w:rFonts w:ascii="Tahoma" w:hAnsi="Tahoma" w:cs="Tahoma"/>
      <w:sz w:val="16"/>
      <w:szCs w:val="16"/>
    </w:rPr>
  </w:style>
  <w:style w:type="paragraph" w:styleId="ListParagraph">
    <w:name w:val="List Paragraph"/>
    <w:basedOn w:val="Normal"/>
    <w:uiPriority w:val="34"/>
    <w:qFormat/>
    <w:rsid w:val="00827919"/>
    <w:pPr>
      <w:ind w:left="720"/>
      <w:contextualSpacing/>
    </w:pPr>
  </w:style>
  <w:style w:type="table" w:styleId="TableGrid">
    <w:name w:val="Table Grid"/>
    <w:basedOn w:val="TableNormal"/>
    <w:uiPriority w:val="59"/>
    <w:rsid w:val="005D77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D7732"/>
    <w:rPr>
      <w:sz w:val="16"/>
      <w:szCs w:val="16"/>
    </w:rPr>
  </w:style>
  <w:style w:type="paragraph" w:styleId="CommentText">
    <w:name w:val="annotation text"/>
    <w:basedOn w:val="Normal"/>
    <w:link w:val="CommentTextChar"/>
    <w:uiPriority w:val="99"/>
    <w:semiHidden/>
    <w:unhideWhenUsed/>
    <w:rsid w:val="005D7732"/>
    <w:pPr>
      <w:spacing w:line="240" w:lineRule="auto"/>
    </w:pPr>
    <w:rPr>
      <w:sz w:val="20"/>
      <w:szCs w:val="20"/>
    </w:rPr>
  </w:style>
  <w:style w:type="character" w:customStyle="1" w:styleId="CommentTextChar">
    <w:name w:val="Comment Text Char"/>
    <w:basedOn w:val="DefaultParagraphFont"/>
    <w:link w:val="CommentText"/>
    <w:uiPriority w:val="99"/>
    <w:semiHidden/>
    <w:rsid w:val="005D7732"/>
    <w:rPr>
      <w:sz w:val="20"/>
      <w:szCs w:val="20"/>
    </w:rPr>
  </w:style>
  <w:style w:type="paragraph" w:styleId="CommentSubject">
    <w:name w:val="annotation subject"/>
    <w:basedOn w:val="CommentText"/>
    <w:next w:val="CommentText"/>
    <w:link w:val="CommentSubjectChar"/>
    <w:uiPriority w:val="99"/>
    <w:semiHidden/>
    <w:unhideWhenUsed/>
    <w:rsid w:val="005D7732"/>
    <w:rPr>
      <w:b/>
      <w:bCs/>
    </w:rPr>
  </w:style>
  <w:style w:type="character" w:customStyle="1" w:styleId="CommentSubjectChar">
    <w:name w:val="Comment Subject Char"/>
    <w:basedOn w:val="CommentTextChar"/>
    <w:link w:val="CommentSubject"/>
    <w:uiPriority w:val="99"/>
    <w:semiHidden/>
    <w:rsid w:val="005D7732"/>
    <w:rPr>
      <w:b/>
      <w:bCs/>
      <w:sz w:val="20"/>
      <w:szCs w:val="20"/>
    </w:rPr>
  </w:style>
  <w:style w:type="paragraph" w:customStyle="1" w:styleId="CM3">
    <w:name w:val="CM3"/>
    <w:basedOn w:val="Normal"/>
    <w:next w:val="Normal"/>
    <w:uiPriority w:val="99"/>
    <w:rsid w:val="00387B40"/>
    <w:pPr>
      <w:widowControl w:val="0"/>
      <w:autoSpaceDE w:val="0"/>
      <w:autoSpaceDN w:val="0"/>
      <w:adjustRightInd w:val="0"/>
      <w:spacing w:after="0" w:line="278" w:lineRule="atLeast"/>
    </w:pPr>
    <w:rPr>
      <w:rFonts w:ascii="Arial" w:eastAsiaTheme="minorEastAsia" w:hAnsi="Arial" w:cs="Arial"/>
      <w:sz w:val="24"/>
      <w:szCs w:val="24"/>
      <w:lang w:val="en-US"/>
    </w:rPr>
  </w:style>
  <w:style w:type="table" w:styleId="LightShading-Accent1">
    <w:name w:val="Light Shading Accent 1"/>
    <w:basedOn w:val="TableNormal"/>
    <w:uiPriority w:val="60"/>
    <w:rsid w:val="0074626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11F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4311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534C0C"/>
    <w:pPr>
      <w:numPr>
        <w:numId w:val="1"/>
      </w:numPr>
      <w:spacing w:after="0" w:line="360" w:lineRule="auto"/>
      <w:contextualSpacing/>
    </w:pPr>
    <w:rPr>
      <w:rFonts w:ascii="Arial" w:eastAsiaTheme="majorEastAsia" w:hAnsi="Arial" w:cstheme="majorBidi"/>
      <w:b/>
      <w:spacing w:val="5"/>
      <w:kern w:val="28"/>
      <w:sz w:val="24"/>
      <w:szCs w:val="52"/>
    </w:rPr>
  </w:style>
  <w:style w:type="character" w:customStyle="1" w:styleId="TtuloCar">
    <w:name w:val="Título Car"/>
    <w:basedOn w:val="Fuentedeprrafopredeter"/>
    <w:link w:val="Ttulo"/>
    <w:uiPriority w:val="10"/>
    <w:rsid w:val="00534C0C"/>
    <w:rPr>
      <w:rFonts w:ascii="Arial" w:eastAsiaTheme="majorEastAsia" w:hAnsi="Arial" w:cstheme="majorBidi"/>
      <w:b/>
      <w:spacing w:val="5"/>
      <w:kern w:val="28"/>
      <w:sz w:val="24"/>
      <w:szCs w:val="52"/>
    </w:rPr>
  </w:style>
  <w:style w:type="paragraph" w:styleId="Encabezado">
    <w:name w:val="header"/>
    <w:basedOn w:val="Normal"/>
    <w:link w:val="EncabezadoCar"/>
    <w:uiPriority w:val="99"/>
    <w:unhideWhenUsed/>
    <w:rsid w:val="007A2EE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A2EE2"/>
  </w:style>
  <w:style w:type="paragraph" w:styleId="Piedepgina">
    <w:name w:val="footer"/>
    <w:basedOn w:val="Normal"/>
    <w:link w:val="PiedepginaCar"/>
    <w:uiPriority w:val="99"/>
    <w:unhideWhenUsed/>
    <w:rsid w:val="007A2EE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A2EE2"/>
  </w:style>
  <w:style w:type="paragraph" w:styleId="Textonotapie">
    <w:name w:val="footnote text"/>
    <w:basedOn w:val="Normal"/>
    <w:link w:val="TextonotapieCar"/>
    <w:uiPriority w:val="99"/>
    <w:semiHidden/>
    <w:unhideWhenUsed/>
    <w:rsid w:val="004311A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311A9"/>
    <w:rPr>
      <w:sz w:val="20"/>
      <w:szCs w:val="20"/>
    </w:rPr>
  </w:style>
  <w:style w:type="character" w:styleId="Refdenotaalpie">
    <w:name w:val="footnote reference"/>
    <w:basedOn w:val="Fuentedeprrafopredeter"/>
    <w:uiPriority w:val="99"/>
    <w:semiHidden/>
    <w:unhideWhenUsed/>
    <w:rsid w:val="004311A9"/>
    <w:rPr>
      <w:vertAlign w:val="superscript"/>
    </w:rPr>
  </w:style>
  <w:style w:type="character" w:customStyle="1" w:styleId="Ttulo2Car">
    <w:name w:val="Título 2 Car"/>
    <w:basedOn w:val="Fuentedeprrafopredeter"/>
    <w:link w:val="Ttulo2"/>
    <w:uiPriority w:val="9"/>
    <w:rsid w:val="004311A9"/>
    <w:rPr>
      <w:rFonts w:asciiTheme="majorHAnsi" w:eastAsiaTheme="majorEastAsia" w:hAnsiTheme="majorHAnsi" w:cstheme="majorBidi"/>
      <w:b/>
      <w:bCs/>
      <w:color w:val="4F81BD" w:themeColor="accent1"/>
      <w:sz w:val="26"/>
      <w:szCs w:val="26"/>
    </w:rPr>
  </w:style>
  <w:style w:type="character" w:customStyle="1" w:styleId="Ttulo1Car">
    <w:name w:val="Título 1 Car"/>
    <w:basedOn w:val="Fuentedeprrafopredeter"/>
    <w:link w:val="Ttulo1"/>
    <w:uiPriority w:val="9"/>
    <w:rsid w:val="00F11FAA"/>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F11FAA"/>
    <w:pPr>
      <w:outlineLvl w:val="9"/>
    </w:pPr>
    <w:rPr>
      <w:lang w:eastAsia="es-ES"/>
    </w:rPr>
  </w:style>
  <w:style w:type="paragraph" w:styleId="Textodeglobo">
    <w:name w:val="Balloon Text"/>
    <w:basedOn w:val="Normal"/>
    <w:link w:val="TextodegloboCar"/>
    <w:uiPriority w:val="99"/>
    <w:semiHidden/>
    <w:unhideWhenUsed/>
    <w:rsid w:val="00F11F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1FAA"/>
    <w:rPr>
      <w:rFonts w:ascii="Tahoma" w:hAnsi="Tahoma" w:cs="Tahoma"/>
      <w:sz w:val="16"/>
      <w:szCs w:val="16"/>
    </w:rPr>
  </w:style>
  <w:style w:type="paragraph" w:styleId="Prrafodelista">
    <w:name w:val="List Paragraph"/>
    <w:basedOn w:val="Normal"/>
    <w:uiPriority w:val="34"/>
    <w:qFormat/>
    <w:rsid w:val="00827919"/>
    <w:pPr>
      <w:ind w:left="720"/>
      <w:contextualSpacing/>
    </w:pPr>
  </w:style>
  <w:style w:type="table" w:styleId="Tablaconcuadrcula">
    <w:name w:val="Table Grid"/>
    <w:basedOn w:val="Tablanormal"/>
    <w:uiPriority w:val="59"/>
    <w:rsid w:val="005D77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5D7732"/>
    <w:rPr>
      <w:sz w:val="16"/>
      <w:szCs w:val="16"/>
    </w:rPr>
  </w:style>
  <w:style w:type="paragraph" w:styleId="Textocomentario">
    <w:name w:val="annotation text"/>
    <w:basedOn w:val="Normal"/>
    <w:link w:val="TextocomentarioCar"/>
    <w:uiPriority w:val="99"/>
    <w:semiHidden/>
    <w:unhideWhenUsed/>
    <w:rsid w:val="005D773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D7732"/>
    <w:rPr>
      <w:sz w:val="20"/>
      <w:szCs w:val="20"/>
    </w:rPr>
  </w:style>
  <w:style w:type="paragraph" w:styleId="Asuntodelcomentario">
    <w:name w:val="annotation subject"/>
    <w:basedOn w:val="Textocomentario"/>
    <w:next w:val="Textocomentario"/>
    <w:link w:val="AsuntodelcomentarioCar"/>
    <w:uiPriority w:val="99"/>
    <w:semiHidden/>
    <w:unhideWhenUsed/>
    <w:rsid w:val="005D7732"/>
    <w:rPr>
      <w:b/>
      <w:bCs/>
    </w:rPr>
  </w:style>
  <w:style w:type="character" w:customStyle="1" w:styleId="AsuntodelcomentarioCar">
    <w:name w:val="Asunto del comentario Car"/>
    <w:basedOn w:val="TextocomentarioCar"/>
    <w:link w:val="Asuntodelcomentario"/>
    <w:uiPriority w:val="99"/>
    <w:semiHidden/>
    <w:rsid w:val="005D7732"/>
    <w:rPr>
      <w:b/>
      <w:bCs/>
      <w:sz w:val="20"/>
      <w:szCs w:val="20"/>
    </w:rPr>
  </w:style>
  <w:style w:type="paragraph" w:customStyle="1" w:styleId="CM3">
    <w:name w:val="CM3"/>
    <w:basedOn w:val="Normal"/>
    <w:next w:val="Normal"/>
    <w:uiPriority w:val="99"/>
    <w:rsid w:val="00387B40"/>
    <w:pPr>
      <w:widowControl w:val="0"/>
      <w:autoSpaceDE w:val="0"/>
      <w:autoSpaceDN w:val="0"/>
      <w:adjustRightInd w:val="0"/>
      <w:spacing w:after="0" w:line="278" w:lineRule="atLeast"/>
    </w:pPr>
    <w:rPr>
      <w:rFonts w:ascii="Arial" w:eastAsiaTheme="minorEastAsia" w:hAnsi="Arial" w:cs="Arial"/>
      <w:sz w:val="24"/>
      <w:szCs w:val="24"/>
      <w:lang w:val="en-US"/>
    </w:rPr>
  </w:style>
  <w:style w:type="table" w:styleId="Sombreadoclaro-nfasis1">
    <w:name w:val="Light Shading Accent 1"/>
    <w:basedOn w:val="Tablanormal"/>
    <w:uiPriority w:val="60"/>
    <w:rsid w:val="0074626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2073500571">
      <w:bodyDiv w:val="1"/>
      <w:marLeft w:val="0"/>
      <w:marRight w:val="0"/>
      <w:marTop w:val="0"/>
      <w:marBottom w:val="0"/>
      <w:divBdr>
        <w:top w:val="none" w:sz="0" w:space="0" w:color="auto"/>
        <w:left w:val="none" w:sz="0" w:space="0" w:color="auto"/>
        <w:bottom w:val="none" w:sz="0" w:space="0" w:color="auto"/>
        <w:right w:val="none" w:sz="0" w:space="0" w:color="auto"/>
      </w:divBdr>
      <w:divsChild>
        <w:div w:id="940917261">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938E6"/>
    <w:rsid w:val="00F938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446EEB44844E868644F0D17B411F59">
    <w:name w:val="5A446EEB44844E868644F0D17B411F59"/>
    <w:rsid w:val="00F938E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F87DD-62F7-4DAF-BE53-3DE02FB53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TotalTime>
  <Pages>10</Pages>
  <Words>6179</Words>
  <Characters>35225</Characters>
  <Application>Microsoft Office Word</Application>
  <DocSecurity>0</DocSecurity>
  <Lines>293</Lines>
  <Paragraphs>82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41322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 Maria Duran</dc:creator>
  <cp:keywords/>
  <dc:description/>
  <cp:lastModifiedBy>finaum</cp:lastModifiedBy>
  <cp:revision>86</cp:revision>
  <cp:lastPrinted>2013-06-03T11:30:00Z</cp:lastPrinted>
  <dcterms:created xsi:type="dcterms:W3CDTF">2013-05-31T07:21:00Z</dcterms:created>
  <dcterms:modified xsi:type="dcterms:W3CDTF">2013-06-18T12:13:00Z</dcterms:modified>
</cp:coreProperties>
</file>